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96597"/>
      <w:bookmarkStart w:id="3" w:name="_Toc15396475"/>
      <w:bookmarkStart w:id="4" w:name="_Toc15378441"/>
      <w:bookmarkStart w:id="5" w:name="_Toc15377425"/>
      <w:r>
        <w:rPr>
          <w:rFonts w:ascii="黑体" w:hAnsi="黑体" w:eastAsia="黑体"/>
          <w:color w:val="000000"/>
          <w:sz w:val="72"/>
          <w:szCs w:val="72"/>
        </w:rPr>
        <w:t>20</w:t>
      </w:r>
      <w:r>
        <w:rPr>
          <w:rFonts w:hint="eastAsia" w:ascii="黑体" w:hAnsi="黑体" w:eastAsia="黑体"/>
          <w:color w:val="000000"/>
          <w:sz w:val="72"/>
          <w:szCs w:val="72"/>
          <w:lang w:val="en-US" w:eastAsia="zh-CN"/>
        </w:rPr>
        <w:t>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426"/>
      <w:bookmarkStart w:id="7" w:name="_Toc15378442"/>
      <w:bookmarkStart w:id="8" w:name="_Toc15396476"/>
      <w:bookmarkStart w:id="9" w:name="_Toc15396598"/>
      <w:bookmarkStart w:id="10" w:name="_Toc15377194"/>
      <w:bookmarkStart w:id="69" w:name="_GoBack"/>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巴中市中心医院</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bookmarkEnd w:id="69"/>
    </w:p>
    <w:p>
      <w:pPr>
        <w:adjustRightInd w:val="0"/>
        <w:snapToGrid w:val="0"/>
        <w:spacing w:line="360" w:lineRule="auto"/>
        <w:jc w:val="both"/>
        <w:outlineLvl w:val="0"/>
        <w:rPr>
          <w:rFonts w:ascii="方正小标宋简体" w:hAnsi="宋体" w:eastAsia="方正小标宋简体"/>
          <w:color w:val="000000"/>
          <w:sz w:val="52"/>
          <w:szCs w:val="52"/>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黑体" w:hAnsi="黑体" w:eastAsia="黑体" w:cstheme="minorBidi"/>
          <w:sz w:val="28"/>
          <w:szCs w:val="2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
      <w:pPr>
        <w:pStyle w:val="10"/>
        <w:adjustRightInd w:val="0"/>
        <w:snapToGrid w:val="0"/>
        <w:spacing w:before="0" w:line="440" w:lineRule="exact"/>
        <w:jc w:val="left"/>
        <w:rPr>
          <w:rFonts w:cstheme="minorBidi"/>
          <w:b/>
          <w:bCs/>
          <w:sz w:val="24"/>
          <w:szCs w:val="24"/>
        </w:rPr>
      </w:pPr>
      <w:r>
        <w:rPr>
          <w:rFonts w:hint="eastAsia"/>
          <w:b/>
          <w:bCs/>
          <w:sz w:val="24"/>
        </w:rPr>
        <w:t>第一部分</w:t>
      </w:r>
      <w:r>
        <w:rPr>
          <w:b/>
          <w:bCs/>
          <w:sz w:val="24"/>
        </w:rPr>
        <w:t xml:space="preserve"> </w:t>
      </w:r>
      <w:r>
        <w:rPr>
          <w:rFonts w:hint="eastAsia"/>
          <w:b/>
          <w:bCs/>
          <w:sz w:val="24"/>
        </w:rPr>
        <w:t>部门概况</w:t>
      </w:r>
    </w:p>
    <w:p>
      <w:pPr>
        <w:pStyle w:val="11"/>
        <w:adjustRightInd w:val="0"/>
        <w:snapToGrid w:val="0"/>
        <w:spacing w:line="440" w:lineRule="exact"/>
        <w:jc w:val="left"/>
        <w:rPr>
          <w:rFonts w:hint="eastAsia"/>
          <w:sz w:val="24"/>
          <w:lang w:eastAsia="zh-CN"/>
        </w:rPr>
      </w:pPr>
      <w:r>
        <w:rPr>
          <w:rFonts w:hint="eastAsia"/>
          <w:sz w:val="24"/>
        </w:rPr>
        <w:t>一、基本职能及主要工</w:t>
      </w:r>
      <w:r>
        <w:rPr>
          <w:rFonts w:hint="eastAsia"/>
          <w:sz w:val="24"/>
          <w:lang w:eastAsia="zh-CN"/>
        </w:rPr>
        <w:t>作</w:t>
      </w:r>
      <w:r>
        <w:tab/>
      </w:r>
      <w:r>
        <w:rPr>
          <w:rFonts w:hint="eastAsia"/>
          <w:lang w:val="en-US" w:eastAsia="zh-CN"/>
        </w:rPr>
        <w:t>4</w:t>
      </w:r>
    </w:p>
    <w:p>
      <w:pPr>
        <w:pStyle w:val="11"/>
        <w:adjustRightInd w:val="0"/>
        <w:snapToGrid w:val="0"/>
        <w:spacing w:line="440" w:lineRule="exact"/>
        <w:jc w:val="left"/>
        <w:rPr>
          <w:rFonts w:ascii="仿宋" w:hAnsi="仿宋" w:eastAsia="仿宋" w:cstheme="minorBidi"/>
          <w:sz w:val="24"/>
        </w:rPr>
      </w:pPr>
      <w:r>
        <w:rPr>
          <w:rFonts w:hint="eastAsia"/>
          <w:sz w:val="24"/>
        </w:rPr>
        <w:t>二、机构设置</w:t>
      </w:r>
      <w:r>
        <w:tab/>
      </w:r>
      <w:r>
        <w:rPr>
          <w:rFonts w:hint="eastAsia"/>
          <w:lang w:val="en-US" w:eastAsia="zh-CN"/>
        </w:rPr>
        <w:t>4</w:t>
      </w:r>
    </w:p>
    <w:p>
      <w:pPr>
        <w:pStyle w:val="10"/>
        <w:adjustRightInd w:val="0"/>
        <w:snapToGrid w:val="0"/>
        <w:spacing w:before="0" w:line="440" w:lineRule="exact"/>
        <w:jc w:val="left"/>
        <w:rPr>
          <w:rFonts w:hint="eastAsia"/>
          <w:b/>
          <w:bCs/>
          <w:sz w:val="24"/>
          <w:lang w:val="en-US" w:eastAsia="zh-CN"/>
        </w:rPr>
      </w:pPr>
      <w:r>
        <w:rPr>
          <w:rFonts w:hint="eastAsia"/>
          <w:b/>
          <w:bCs/>
          <w:sz w:val="24"/>
        </w:rPr>
        <w:t>第二部分</w:t>
      </w:r>
      <w:r>
        <w:rPr>
          <w:rFonts w:hint="eastAsia"/>
          <w:b/>
          <w:bCs/>
          <w:sz w:val="24"/>
          <w:lang w:val="en-US" w:eastAsia="zh-CN"/>
        </w:rPr>
        <w:t xml:space="preserve"> 2020年度部门决算情况说明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r>
        <w:tab/>
      </w:r>
      <w:r>
        <w:rPr>
          <w:rFonts w:hint="eastAsia"/>
          <w:lang w:val="en-US" w:eastAsia="zh-CN"/>
        </w:rPr>
        <w:t>5</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r>
        <w:tab/>
      </w:r>
      <w:r>
        <w:rPr>
          <w:rFonts w:hint="eastAsia"/>
          <w:lang w:val="en-US" w:eastAsia="zh-CN"/>
        </w:rPr>
        <w:t>5</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r>
        <w:tab/>
      </w:r>
      <w:r>
        <w:rPr>
          <w:rFonts w:hint="eastAsia"/>
          <w:lang w:val="en-US" w:eastAsia="zh-CN"/>
        </w:rPr>
        <w:t>6</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r>
        <w:tab/>
      </w:r>
      <w:r>
        <w:rPr>
          <w:rFonts w:hint="eastAsia"/>
          <w:lang w:val="en-US" w:eastAsia="zh-CN"/>
        </w:rPr>
        <w:t>7</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r>
        <w:tab/>
      </w:r>
      <w:r>
        <w:rPr>
          <w:rFonts w:hint="eastAsia"/>
          <w:lang w:val="en-US" w:eastAsia="zh-CN"/>
        </w:rPr>
        <w:t>7</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r>
        <w:tab/>
      </w:r>
      <w:r>
        <w:rPr>
          <w:rFonts w:hint="eastAsia"/>
          <w:lang w:val="en-US" w:eastAsia="zh-CN"/>
        </w:rPr>
        <w:t>10</w:t>
      </w:r>
    </w:p>
    <w:p>
      <w:pPr>
        <w:pStyle w:val="11"/>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w:t>
      </w:r>
      <w:r>
        <w:tab/>
      </w:r>
      <w:r>
        <w:rPr>
          <w:rFonts w:hint="eastAsia"/>
          <w:lang w:val="en-US" w:eastAsia="zh-CN"/>
        </w:rPr>
        <w:t>10</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r>
        <w:tab/>
      </w:r>
      <w:r>
        <w:rPr>
          <w:rFonts w:hint="eastAsia"/>
          <w:lang w:val="en-US" w:eastAsia="zh-CN"/>
        </w:rPr>
        <w:t>12</w:t>
      </w:r>
    </w:p>
    <w:p>
      <w:pPr>
        <w:pStyle w:val="11"/>
        <w:adjustRightInd w:val="0"/>
        <w:snapToGrid w:val="0"/>
        <w:spacing w:line="440" w:lineRule="exact"/>
        <w:ind w:leftChars="0"/>
        <w:jc w:val="left"/>
      </w:pPr>
      <w:r>
        <w:rPr>
          <w:rFonts w:hint="eastAsia" w:ascii="仿宋" w:hAnsi="仿宋" w:eastAsia="仿宋"/>
          <w:sz w:val="24"/>
        </w:rPr>
        <w:t>九、</w:t>
      </w:r>
      <w:r>
        <w:rPr>
          <w:sz w:val="24"/>
        </w:rPr>
        <w:t xml:space="preserve"> 国</w:t>
      </w:r>
      <w:r>
        <w:rPr>
          <w:rFonts w:hint="eastAsia"/>
          <w:sz w:val="24"/>
        </w:rPr>
        <w:t>有资本经营预算支出决算情况说明</w:t>
      </w:r>
      <w:r>
        <w:tab/>
      </w:r>
      <w:r>
        <w:rPr>
          <w:rFonts w:hint="eastAsia"/>
          <w:lang w:val="en-US" w:eastAsia="zh-CN"/>
        </w:rPr>
        <w:t>12</w:t>
      </w:r>
    </w:p>
    <w:p>
      <w:pPr>
        <w:adjustRightInd w:val="0"/>
        <w:snapToGrid w:val="0"/>
        <w:spacing w:line="440" w:lineRule="exact"/>
        <w:ind w:left="0" w:leftChars="0" w:firstLine="420" w:firstLineChars="175"/>
        <w:jc w:val="left"/>
        <w:rPr>
          <w:rFonts w:ascii="仿宋" w:hAnsi="仿宋" w:eastAsia="仿宋" w:cstheme="minorBidi"/>
          <w:sz w:val="24"/>
          <w:lang w:val="en-US"/>
        </w:rPr>
      </w:pPr>
      <w:r>
        <w:rPr>
          <w:rFonts w:hint="eastAsia" w:ascii="仿宋" w:hAnsi="仿宋" w:eastAsia="仿宋" w:cs="Times New Roman"/>
          <w:kern w:val="2"/>
          <w:sz w:val="24"/>
          <w:szCs w:val="24"/>
          <w:lang w:val="en-US" w:eastAsia="zh-CN" w:bidi="ar-SA"/>
        </w:rPr>
        <w:t>十</w:t>
      </w:r>
      <w:r>
        <w:rPr>
          <w:rStyle w:val="16"/>
          <w:rFonts w:hint="eastAsia" w:ascii="仿宋" w:hAnsi="仿宋" w:eastAsia="仿宋"/>
          <w:color w:val="000000" w:themeColor="text1"/>
          <w:sz w:val="24"/>
          <w:u w:val="none"/>
          <w14:textFill>
            <w14:solidFill>
              <w14:schemeClr w14:val="tx1"/>
            </w14:solidFill>
          </w14:textFill>
        </w:rPr>
        <w:t>、</w:t>
      </w:r>
      <w:r>
        <w:rPr>
          <w:rFonts w:hint="eastAsia"/>
          <w:sz w:val="24"/>
        </w:rPr>
        <w:t>其他重要事项的情况说</w:t>
      </w:r>
      <w:r>
        <w:rPr>
          <w:rFonts w:hint="eastAsia"/>
          <w:sz w:val="24"/>
          <w:lang w:eastAsia="zh-CN"/>
        </w:rPr>
        <w:t>明</w:t>
      </w:r>
      <w:r>
        <w:rPr>
          <w:rFonts w:hint="eastAsia"/>
          <w:sz w:val="21"/>
          <w:szCs w:val="21"/>
          <w:shd w:val="clear" w:color="auto" w:fill="auto"/>
          <w:lang w:val="en-US" w:eastAsia="zh-CN"/>
        </w:rPr>
        <w:t>........................................................................................12</w:t>
      </w:r>
    </w:p>
    <w:p>
      <w:pPr>
        <w:pStyle w:val="10"/>
        <w:adjustRightInd w:val="0"/>
        <w:snapToGrid w:val="0"/>
        <w:spacing w:before="0" w:line="440" w:lineRule="exact"/>
        <w:jc w:val="left"/>
        <w:rPr>
          <w:rFonts w:hint="eastAsia" w:ascii="Times New Roman" w:hAnsi="Times New Roman" w:eastAsia="宋体" w:cs="Times New Roman"/>
          <w:kern w:val="2"/>
          <w:sz w:val="21"/>
          <w:szCs w:val="24"/>
          <w:lang w:val="en-US" w:eastAsia="zh-CN" w:bidi="ar-SA"/>
        </w:rPr>
      </w:pPr>
      <w:r>
        <w:rPr>
          <w:rFonts w:hint="eastAsia"/>
          <w:b/>
          <w:bCs/>
          <w:sz w:val="24"/>
        </w:rPr>
        <w:t>第三部分</w:t>
      </w:r>
      <w:r>
        <w:rPr>
          <w:b/>
          <w:bCs/>
          <w:sz w:val="24"/>
        </w:rPr>
        <w:t xml:space="preserve"> </w:t>
      </w:r>
      <w:r>
        <w:rPr>
          <w:rFonts w:hint="eastAsia"/>
          <w:b/>
          <w:bCs/>
          <w:sz w:val="24"/>
        </w:rPr>
        <w:t>名词解释</w:t>
      </w:r>
      <w:r>
        <w:rPr>
          <w:rFonts w:ascii="Times New Roman" w:hAnsi="Times New Roman" w:eastAsia="宋体" w:cs="Times New Roman"/>
          <w:kern w:val="2"/>
          <w:sz w:val="21"/>
          <w:szCs w:val="24"/>
          <w:lang w:val="en-US" w:eastAsia="zh-CN" w:bidi="ar-SA"/>
        </w:rPr>
        <w:tab/>
      </w:r>
      <w:r>
        <w:rPr>
          <w:rFonts w:hint="eastAsia" w:ascii="Times New Roman" w:hAnsi="Times New Roman" w:eastAsia="宋体" w:cs="Times New Roman"/>
          <w:kern w:val="2"/>
          <w:sz w:val="21"/>
          <w:szCs w:val="24"/>
          <w:lang w:val="en-US" w:eastAsia="zh-CN" w:bidi="ar-SA"/>
        </w:rPr>
        <w:t>19</w:t>
      </w:r>
    </w:p>
    <w:p>
      <w:pPr>
        <w:pStyle w:val="10"/>
        <w:adjustRightInd w:val="0"/>
        <w:snapToGrid w:val="0"/>
        <w:spacing w:before="0" w:line="440" w:lineRule="exact"/>
        <w:jc w:val="left"/>
        <w:rPr>
          <w:rFonts w:cstheme="minorBidi"/>
          <w:sz w:val="24"/>
          <w:szCs w:val="24"/>
        </w:rPr>
      </w:pPr>
      <w:r>
        <w:rPr>
          <w:rFonts w:hint="eastAsia"/>
          <w:b/>
          <w:bCs/>
          <w:sz w:val="24"/>
        </w:rPr>
        <w:t>第四部分</w:t>
      </w:r>
      <w:r>
        <w:rPr>
          <w:b/>
          <w:bCs/>
          <w:sz w:val="24"/>
        </w:rPr>
        <w:t xml:space="preserve"> </w:t>
      </w:r>
      <w:r>
        <w:rPr>
          <w:rFonts w:hint="eastAsia"/>
          <w:b/>
          <w:bCs/>
          <w:sz w:val="24"/>
        </w:rPr>
        <w:t>附件</w:t>
      </w:r>
      <w:r>
        <w:rPr>
          <w:rFonts w:ascii="Times New Roman" w:hAnsi="Times New Roman" w:eastAsia="宋体" w:cs="Times New Roman"/>
          <w:kern w:val="2"/>
          <w:sz w:val="21"/>
          <w:szCs w:val="24"/>
          <w:lang w:val="en-US" w:eastAsia="zh-CN" w:bidi="ar-SA"/>
        </w:rPr>
        <w:tab/>
      </w:r>
      <w:r>
        <w:rPr>
          <w:rFonts w:hint="eastAsia" w:ascii="Times New Roman" w:hAnsi="Times New Roman" w:eastAsia="宋体" w:cs="Times New Roman"/>
          <w:kern w:val="2"/>
          <w:sz w:val="21"/>
          <w:szCs w:val="24"/>
          <w:lang w:val="en-US" w:eastAsia="zh-CN" w:bidi="ar-SA"/>
        </w:rPr>
        <w:t>21</w:t>
      </w:r>
    </w:p>
    <w:p>
      <w:pPr>
        <w:pStyle w:val="11"/>
        <w:adjustRightInd w:val="0"/>
        <w:snapToGrid w:val="0"/>
        <w:spacing w:line="440" w:lineRule="exact"/>
        <w:jc w:val="left"/>
        <w:rPr>
          <w:rFonts w:hint="eastAsia" w:cs="Times New Roman"/>
          <w:kern w:val="2"/>
          <w:sz w:val="21"/>
          <w:szCs w:val="24"/>
          <w:lang w:val="en-US" w:eastAsia="zh-CN" w:bidi="ar-SA"/>
        </w:rPr>
      </w:pPr>
      <w:r>
        <w:rPr>
          <w:rFonts w:hint="eastAsia"/>
          <w:sz w:val="24"/>
        </w:rPr>
        <w:t>附件</w:t>
      </w:r>
      <w:r>
        <w:rPr>
          <w:sz w:val="24"/>
        </w:rPr>
        <w:t>1</w:t>
      </w:r>
      <w:r>
        <w:rPr>
          <w:rFonts w:ascii="Times New Roman" w:hAnsi="Times New Roman" w:eastAsia="宋体" w:cs="Times New Roman"/>
          <w:kern w:val="2"/>
          <w:sz w:val="21"/>
          <w:szCs w:val="24"/>
          <w:lang w:val="en-US" w:eastAsia="zh-CN" w:bidi="ar-SA"/>
        </w:rPr>
        <w:tab/>
      </w:r>
      <w:r>
        <w:rPr>
          <w:rFonts w:hint="eastAsia" w:cs="Times New Roman"/>
          <w:kern w:val="2"/>
          <w:sz w:val="21"/>
          <w:szCs w:val="24"/>
          <w:lang w:val="en-US" w:eastAsia="zh-CN" w:bidi="ar-SA"/>
        </w:rPr>
        <w:t>21</w:t>
      </w:r>
    </w:p>
    <w:p>
      <w:pPr>
        <w:pStyle w:val="10"/>
        <w:adjustRightInd w:val="0"/>
        <w:snapToGrid w:val="0"/>
        <w:spacing w:before="0" w:line="440" w:lineRule="exact"/>
        <w:ind w:firstLine="420"/>
        <w:jc w:val="left"/>
        <w:rPr>
          <w:rFonts w:hint="eastAsia" w:cs="Times New Roman"/>
          <w:kern w:val="2"/>
          <w:sz w:val="21"/>
          <w:szCs w:val="24"/>
          <w:lang w:val="en-US" w:eastAsia="zh-CN" w:bidi="ar-SA"/>
        </w:rPr>
      </w:pPr>
      <w:r>
        <w:rPr>
          <w:rFonts w:hint="eastAsia" w:ascii="Times New Roman" w:hAnsi="Times New Roman" w:eastAsia="宋体" w:cs="Times New Roman"/>
          <w:kern w:val="2"/>
          <w:sz w:val="24"/>
          <w:szCs w:val="24"/>
          <w:lang w:val="en-US" w:eastAsia="zh-CN" w:bidi="ar-SA"/>
        </w:rPr>
        <w:t>附件2</w:t>
      </w:r>
      <w:r>
        <w:rPr>
          <w:rFonts w:ascii="Times New Roman" w:hAnsi="Times New Roman" w:eastAsia="宋体" w:cs="Times New Roman"/>
          <w:kern w:val="2"/>
          <w:sz w:val="21"/>
          <w:szCs w:val="24"/>
          <w:lang w:val="en-US" w:eastAsia="zh-CN" w:bidi="ar-SA"/>
        </w:rPr>
        <w:tab/>
      </w:r>
      <w:r>
        <w:rPr>
          <w:rFonts w:hint="eastAsia" w:ascii="Times New Roman" w:hAnsi="Times New Roman" w:eastAsia="宋体" w:cs="Times New Roman"/>
          <w:kern w:val="2"/>
          <w:sz w:val="21"/>
          <w:szCs w:val="24"/>
          <w:lang w:val="en-US" w:eastAsia="zh-CN" w:bidi="ar-SA"/>
        </w:rPr>
        <w:t>24</w:t>
      </w:r>
    </w:p>
    <w:p>
      <w:pPr>
        <w:pStyle w:val="10"/>
        <w:adjustRightInd w:val="0"/>
        <w:snapToGrid w:val="0"/>
        <w:spacing w:before="0" w:line="440" w:lineRule="exact"/>
        <w:jc w:val="left"/>
        <w:rPr>
          <w:rFonts w:cstheme="minorBidi"/>
          <w:sz w:val="24"/>
          <w:szCs w:val="24"/>
        </w:rPr>
      </w:pPr>
      <w:r>
        <w:rPr>
          <w:rFonts w:hint="eastAsia"/>
          <w:b/>
          <w:bCs/>
          <w:sz w:val="24"/>
        </w:rPr>
        <w:t>第五部分</w:t>
      </w:r>
      <w:r>
        <w:rPr>
          <w:b/>
          <w:bCs/>
          <w:sz w:val="24"/>
        </w:rPr>
        <w:t xml:space="preserve"> </w:t>
      </w:r>
      <w:r>
        <w:rPr>
          <w:rFonts w:hint="eastAsia"/>
          <w:b/>
          <w:bCs/>
          <w:sz w:val="24"/>
        </w:rPr>
        <w:t>附表</w:t>
      </w:r>
      <w:r>
        <w:rPr>
          <w:rFonts w:ascii="Times New Roman" w:hAnsi="Times New Roman" w:eastAsia="宋体" w:cs="Times New Roman"/>
          <w:kern w:val="2"/>
          <w:sz w:val="21"/>
          <w:szCs w:val="24"/>
          <w:lang w:val="en-US" w:eastAsia="zh-CN" w:bidi="ar-SA"/>
        </w:rPr>
        <w:tab/>
      </w:r>
      <w:r>
        <w:rPr>
          <w:rFonts w:hint="eastAsia" w:ascii="Times New Roman" w:hAnsi="Times New Roman" w:eastAsia="宋体" w:cs="Times New Roman"/>
          <w:kern w:val="2"/>
          <w:sz w:val="21"/>
          <w:szCs w:val="24"/>
          <w:lang w:val="en-US" w:eastAsia="zh-CN" w:bidi="ar-SA"/>
        </w:rPr>
        <w:t>26</w:t>
      </w:r>
    </w:p>
    <w:p>
      <w:pPr>
        <w:pStyle w:val="11"/>
        <w:adjustRightInd w:val="0"/>
        <w:snapToGrid w:val="0"/>
        <w:spacing w:line="440" w:lineRule="exact"/>
        <w:jc w:val="left"/>
        <w:rPr>
          <w:rFonts w:hint="eastAsia"/>
          <w:sz w:val="24"/>
        </w:rPr>
      </w:pPr>
      <w:r>
        <w:rPr>
          <w:rFonts w:hint="eastAsia"/>
          <w:sz w:val="24"/>
        </w:rPr>
        <w:t>一、收入支出决算总表</w:t>
      </w:r>
      <w:r>
        <w:rPr>
          <w:rFonts w:ascii="Times New Roman" w:hAnsi="Times New Roman" w:eastAsia="宋体" w:cs="Times New Roman"/>
          <w:kern w:val="2"/>
          <w:sz w:val="21"/>
          <w:szCs w:val="24"/>
          <w:lang w:val="en-US" w:eastAsia="zh-CN" w:bidi="ar-SA"/>
        </w:rPr>
        <w:tab/>
      </w:r>
      <w:r>
        <w:rPr>
          <w:rFonts w:hint="eastAsia" w:cs="Times New Roman"/>
          <w:kern w:val="2"/>
          <w:sz w:val="21"/>
          <w:szCs w:val="24"/>
          <w:lang w:val="en-US" w:eastAsia="zh-CN" w:bidi="ar-SA"/>
        </w:rPr>
        <w:t>26</w:t>
      </w:r>
    </w:p>
    <w:p>
      <w:pPr>
        <w:pStyle w:val="11"/>
        <w:adjustRightInd w:val="0"/>
        <w:snapToGrid w:val="0"/>
        <w:spacing w:line="440" w:lineRule="exact"/>
        <w:jc w:val="left"/>
        <w:rPr>
          <w:rFonts w:hint="eastAsia"/>
          <w:sz w:val="24"/>
        </w:rPr>
      </w:pPr>
      <w:r>
        <w:rPr>
          <w:rFonts w:hint="eastAsia"/>
          <w:sz w:val="24"/>
        </w:rPr>
        <w:t>二、收入决算表</w:t>
      </w:r>
      <w:r>
        <w:rPr>
          <w:rFonts w:ascii="Times New Roman" w:hAnsi="Times New Roman" w:eastAsia="宋体" w:cs="Times New Roman"/>
          <w:kern w:val="2"/>
          <w:sz w:val="21"/>
          <w:szCs w:val="24"/>
          <w:lang w:val="en-US" w:eastAsia="zh-CN" w:bidi="ar-SA"/>
        </w:rPr>
        <w:tab/>
      </w:r>
      <w:r>
        <w:rPr>
          <w:rFonts w:hint="eastAsia" w:cs="Times New Roman"/>
          <w:kern w:val="2"/>
          <w:sz w:val="21"/>
          <w:szCs w:val="24"/>
          <w:lang w:val="en-US" w:eastAsia="zh-CN" w:bidi="ar-SA"/>
        </w:rPr>
        <w:t>26</w:t>
      </w:r>
    </w:p>
    <w:p>
      <w:pPr>
        <w:pStyle w:val="11"/>
        <w:adjustRightInd w:val="0"/>
        <w:snapToGrid w:val="0"/>
        <w:spacing w:line="440" w:lineRule="exact"/>
        <w:jc w:val="left"/>
        <w:rPr>
          <w:rFonts w:hint="eastAsia"/>
          <w:sz w:val="24"/>
        </w:rPr>
      </w:pPr>
      <w:r>
        <w:rPr>
          <w:rFonts w:hint="eastAsia"/>
          <w:sz w:val="24"/>
        </w:rPr>
        <w:t>三、支出决算表</w:t>
      </w:r>
      <w:r>
        <w:rPr>
          <w:rFonts w:ascii="Times New Roman" w:hAnsi="Times New Roman" w:eastAsia="宋体" w:cs="Times New Roman"/>
          <w:kern w:val="2"/>
          <w:sz w:val="21"/>
          <w:szCs w:val="24"/>
          <w:lang w:val="en-US" w:eastAsia="zh-CN" w:bidi="ar-SA"/>
        </w:rPr>
        <w:tab/>
      </w:r>
      <w:r>
        <w:rPr>
          <w:rFonts w:hint="eastAsia" w:cs="Times New Roman"/>
          <w:kern w:val="2"/>
          <w:sz w:val="21"/>
          <w:szCs w:val="24"/>
          <w:lang w:val="en-US" w:eastAsia="zh-CN" w:bidi="ar-SA"/>
        </w:rPr>
        <w:t>26</w:t>
      </w:r>
    </w:p>
    <w:p>
      <w:pPr>
        <w:pStyle w:val="11"/>
        <w:adjustRightInd w:val="0"/>
        <w:snapToGrid w:val="0"/>
        <w:spacing w:line="440" w:lineRule="exact"/>
        <w:jc w:val="left"/>
        <w:rPr>
          <w:rFonts w:hint="eastAsia"/>
          <w:sz w:val="24"/>
        </w:rPr>
      </w:pPr>
      <w:r>
        <w:rPr>
          <w:rFonts w:hint="eastAsia"/>
          <w:sz w:val="24"/>
        </w:rPr>
        <w:t>四、财政拨款收入支出决算总表</w:t>
      </w:r>
      <w:r>
        <w:rPr>
          <w:rFonts w:ascii="Times New Roman" w:hAnsi="Times New Roman" w:eastAsia="宋体" w:cs="Times New Roman"/>
          <w:kern w:val="2"/>
          <w:sz w:val="21"/>
          <w:szCs w:val="24"/>
          <w:lang w:val="en-US" w:eastAsia="zh-CN" w:bidi="ar-SA"/>
        </w:rPr>
        <w:tab/>
      </w:r>
      <w:r>
        <w:rPr>
          <w:rFonts w:hint="eastAsia" w:cs="Times New Roman"/>
          <w:kern w:val="2"/>
          <w:sz w:val="21"/>
          <w:szCs w:val="24"/>
          <w:lang w:val="en-US" w:eastAsia="zh-CN" w:bidi="ar-SA"/>
        </w:rPr>
        <w:t>26</w:t>
      </w:r>
    </w:p>
    <w:p>
      <w:pPr>
        <w:pStyle w:val="11"/>
        <w:adjustRightInd w:val="0"/>
        <w:snapToGrid w:val="0"/>
        <w:spacing w:line="440" w:lineRule="exact"/>
        <w:jc w:val="left"/>
        <w:rPr>
          <w:rFonts w:hint="eastAsia"/>
          <w:sz w:val="24"/>
        </w:rPr>
      </w:pPr>
      <w:r>
        <w:rPr>
          <w:rFonts w:hint="eastAsia"/>
          <w:sz w:val="24"/>
        </w:rPr>
        <w:t>五、财政拨款支出决算明细表</w:t>
      </w:r>
      <w:r>
        <w:rPr>
          <w:rFonts w:ascii="Times New Roman" w:hAnsi="Times New Roman" w:eastAsia="宋体" w:cs="Times New Roman"/>
          <w:kern w:val="2"/>
          <w:sz w:val="21"/>
          <w:szCs w:val="24"/>
          <w:lang w:val="en-US" w:eastAsia="zh-CN" w:bidi="ar-SA"/>
        </w:rPr>
        <w:tab/>
      </w:r>
      <w:r>
        <w:rPr>
          <w:rFonts w:hint="eastAsia" w:cs="Times New Roman"/>
          <w:kern w:val="2"/>
          <w:sz w:val="21"/>
          <w:szCs w:val="24"/>
          <w:lang w:val="en-US" w:eastAsia="zh-CN" w:bidi="ar-SA"/>
        </w:rPr>
        <w:t>26</w:t>
      </w:r>
    </w:p>
    <w:p>
      <w:pPr>
        <w:pStyle w:val="11"/>
        <w:adjustRightInd w:val="0"/>
        <w:snapToGrid w:val="0"/>
        <w:spacing w:line="440" w:lineRule="exact"/>
        <w:jc w:val="left"/>
        <w:rPr>
          <w:rFonts w:hint="eastAsia"/>
          <w:sz w:val="24"/>
        </w:rPr>
      </w:pPr>
      <w:r>
        <w:rPr>
          <w:rFonts w:hint="eastAsia"/>
          <w:sz w:val="24"/>
        </w:rPr>
        <w:t>六、一般公共预算财政拨款支出决算表</w:t>
      </w:r>
      <w:r>
        <w:rPr>
          <w:rFonts w:ascii="Times New Roman" w:hAnsi="Times New Roman" w:eastAsia="宋体" w:cs="Times New Roman"/>
          <w:kern w:val="2"/>
          <w:sz w:val="21"/>
          <w:szCs w:val="24"/>
          <w:lang w:val="en-US" w:eastAsia="zh-CN" w:bidi="ar-SA"/>
        </w:rPr>
        <w:tab/>
      </w:r>
      <w:r>
        <w:rPr>
          <w:rFonts w:hint="eastAsia" w:cs="Times New Roman"/>
          <w:kern w:val="2"/>
          <w:sz w:val="21"/>
          <w:szCs w:val="24"/>
          <w:lang w:val="en-US" w:eastAsia="zh-CN" w:bidi="ar-SA"/>
        </w:rPr>
        <w:t>26</w:t>
      </w:r>
    </w:p>
    <w:p>
      <w:pPr>
        <w:pStyle w:val="11"/>
        <w:adjustRightInd w:val="0"/>
        <w:snapToGrid w:val="0"/>
        <w:spacing w:line="440" w:lineRule="exact"/>
        <w:jc w:val="left"/>
        <w:rPr>
          <w:rFonts w:hint="eastAsia"/>
          <w:sz w:val="24"/>
        </w:rPr>
      </w:pPr>
      <w:r>
        <w:rPr>
          <w:rFonts w:hint="eastAsia"/>
          <w:sz w:val="24"/>
        </w:rPr>
        <w:t>七、一般公共预算财政拨款支出决算明细表</w:t>
      </w:r>
      <w:r>
        <w:rPr>
          <w:rFonts w:ascii="Times New Roman" w:hAnsi="Times New Roman" w:eastAsia="宋体" w:cs="Times New Roman"/>
          <w:kern w:val="2"/>
          <w:sz w:val="21"/>
          <w:szCs w:val="24"/>
          <w:lang w:val="en-US" w:eastAsia="zh-CN" w:bidi="ar-SA"/>
        </w:rPr>
        <w:tab/>
      </w:r>
      <w:r>
        <w:rPr>
          <w:rFonts w:hint="eastAsia" w:cs="Times New Roman"/>
          <w:kern w:val="2"/>
          <w:sz w:val="21"/>
          <w:szCs w:val="24"/>
          <w:lang w:val="en-US" w:eastAsia="zh-CN" w:bidi="ar-SA"/>
        </w:rPr>
        <w:t>26</w:t>
      </w:r>
    </w:p>
    <w:p>
      <w:pPr>
        <w:pStyle w:val="11"/>
        <w:adjustRightInd w:val="0"/>
        <w:snapToGrid w:val="0"/>
        <w:spacing w:line="440" w:lineRule="exact"/>
        <w:jc w:val="left"/>
        <w:rPr>
          <w:rFonts w:hint="eastAsia"/>
          <w:sz w:val="24"/>
        </w:rPr>
      </w:pPr>
      <w:r>
        <w:rPr>
          <w:rFonts w:hint="eastAsia"/>
          <w:sz w:val="24"/>
        </w:rPr>
        <w:t>八、一般公共预算财政拨款基本支出决算表</w:t>
      </w:r>
      <w:r>
        <w:rPr>
          <w:rFonts w:ascii="Times New Roman" w:hAnsi="Times New Roman" w:eastAsia="宋体" w:cs="Times New Roman"/>
          <w:kern w:val="2"/>
          <w:sz w:val="21"/>
          <w:szCs w:val="24"/>
          <w:lang w:val="en-US" w:eastAsia="zh-CN" w:bidi="ar-SA"/>
        </w:rPr>
        <w:tab/>
      </w:r>
      <w:r>
        <w:rPr>
          <w:rFonts w:hint="eastAsia" w:cs="Times New Roman"/>
          <w:kern w:val="2"/>
          <w:sz w:val="21"/>
          <w:szCs w:val="24"/>
          <w:lang w:val="en-US" w:eastAsia="zh-CN" w:bidi="ar-SA"/>
        </w:rPr>
        <w:t>26</w:t>
      </w:r>
    </w:p>
    <w:p>
      <w:pPr>
        <w:pStyle w:val="11"/>
        <w:adjustRightInd w:val="0"/>
        <w:snapToGrid w:val="0"/>
        <w:spacing w:line="440" w:lineRule="exact"/>
        <w:jc w:val="left"/>
        <w:rPr>
          <w:rFonts w:hint="eastAsia"/>
          <w:sz w:val="24"/>
        </w:rPr>
      </w:pPr>
      <w:r>
        <w:rPr>
          <w:rFonts w:hint="eastAsia"/>
          <w:sz w:val="24"/>
        </w:rPr>
        <w:t>九、一般公共预算财政拨款项目支出决算表</w:t>
      </w:r>
      <w:r>
        <w:rPr>
          <w:rFonts w:ascii="Times New Roman" w:hAnsi="Times New Roman" w:eastAsia="宋体" w:cs="Times New Roman"/>
          <w:kern w:val="2"/>
          <w:sz w:val="21"/>
          <w:szCs w:val="24"/>
          <w:lang w:val="en-US" w:eastAsia="zh-CN" w:bidi="ar-SA"/>
        </w:rPr>
        <w:tab/>
      </w:r>
      <w:r>
        <w:rPr>
          <w:rFonts w:hint="eastAsia" w:cs="Times New Roman"/>
          <w:kern w:val="2"/>
          <w:sz w:val="21"/>
          <w:szCs w:val="24"/>
          <w:lang w:val="en-US" w:eastAsia="zh-CN" w:bidi="ar-SA"/>
        </w:rPr>
        <w:t>26</w:t>
      </w:r>
    </w:p>
    <w:p>
      <w:pPr>
        <w:pStyle w:val="11"/>
        <w:adjustRightInd w:val="0"/>
        <w:snapToGrid w:val="0"/>
        <w:spacing w:line="440" w:lineRule="exact"/>
        <w:jc w:val="left"/>
        <w:rPr>
          <w:rFonts w:hint="eastAsia"/>
          <w:sz w:val="24"/>
        </w:rPr>
      </w:pPr>
      <w:r>
        <w:rPr>
          <w:rFonts w:hint="eastAsia"/>
          <w:sz w:val="24"/>
        </w:rPr>
        <w:t>十、一般公共预算财政拨款“三公”经费支出决算表</w:t>
      </w:r>
      <w:r>
        <w:rPr>
          <w:rFonts w:ascii="Times New Roman" w:hAnsi="Times New Roman" w:eastAsia="宋体" w:cs="Times New Roman"/>
          <w:kern w:val="2"/>
          <w:sz w:val="21"/>
          <w:szCs w:val="24"/>
          <w:lang w:val="en-US" w:eastAsia="zh-CN" w:bidi="ar-SA"/>
        </w:rPr>
        <w:tab/>
      </w:r>
      <w:r>
        <w:rPr>
          <w:rFonts w:hint="eastAsia" w:cs="Times New Roman"/>
          <w:kern w:val="2"/>
          <w:sz w:val="21"/>
          <w:szCs w:val="24"/>
          <w:lang w:val="en-US" w:eastAsia="zh-CN" w:bidi="ar-SA"/>
        </w:rPr>
        <w:t>26</w:t>
      </w:r>
    </w:p>
    <w:p>
      <w:pPr>
        <w:pStyle w:val="11"/>
        <w:adjustRightInd w:val="0"/>
        <w:snapToGrid w:val="0"/>
        <w:spacing w:line="440" w:lineRule="exact"/>
        <w:jc w:val="left"/>
        <w:rPr>
          <w:rFonts w:hint="eastAsia"/>
          <w:sz w:val="24"/>
        </w:rPr>
      </w:pPr>
      <w:r>
        <w:rPr>
          <w:rFonts w:hint="eastAsia"/>
          <w:sz w:val="24"/>
        </w:rPr>
        <w:t>十一、政府性基金预算财政拨款收入支出决算表</w:t>
      </w:r>
      <w:r>
        <w:rPr>
          <w:rFonts w:ascii="Times New Roman" w:hAnsi="Times New Roman" w:eastAsia="宋体" w:cs="Times New Roman"/>
          <w:kern w:val="2"/>
          <w:sz w:val="21"/>
          <w:szCs w:val="24"/>
          <w:lang w:val="en-US" w:eastAsia="zh-CN" w:bidi="ar-SA"/>
        </w:rPr>
        <w:tab/>
      </w:r>
      <w:r>
        <w:rPr>
          <w:rFonts w:hint="eastAsia" w:cs="Times New Roman"/>
          <w:kern w:val="2"/>
          <w:sz w:val="21"/>
          <w:szCs w:val="24"/>
          <w:lang w:val="en-US" w:eastAsia="zh-CN" w:bidi="ar-SA"/>
        </w:rPr>
        <w:t>26</w:t>
      </w:r>
    </w:p>
    <w:p>
      <w:pPr>
        <w:pStyle w:val="11"/>
        <w:adjustRightInd w:val="0"/>
        <w:snapToGrid w:val="0"/>
        <w:spacing w:line="440" w:lineRule="exact"/>
        <w:jc w:val="left"/>
        <w:rPr>
          <w:rFonts w:hint="eastAsia"/>
          <w:sz w:val="24"/>
        </w:rPr>
      </w:pPr>
      <w:r>
        <w:rPr>
          <w:rFonts w:hint="eastAsia"/>
          <w:sz w:val="24"/>
        </w:rPr>
        <w:t>十二、政府性基金预算财政拨款“三公”经费支出决算表</w:t>
      </w:r>
      <w:r>
        <w:rPr>
          <w:rFonts w:ascii="Times New Roman" w:hAnsi="Times New Roman" w:eastAsia="宋体" w:cs="Times New Roman"/>
          <w:kern w:val="2"/>
          <w:sz w:val="21"/>
          <w:szCs w:val="24"/>
          <w:lang w:val="en-US" w:eastAsia="zh-CN" w:bidi="ar-SA"/>
        </w:rPr>
        <w:tab/>
      </w:r>
      <w:r>
        <w:rPr>
          <w:rFonts w:hint="eastAsia" w:cs="Times New Roman"/>
          <w:kern w:val="2"/>
          <w:sz w:val="21"/>
          <w:szCs w:val="24"/>
          <w:lang w:val="en-US" w:eastAsia="zh-CN" w:bidi="ar-SA"/>
        </w:rPr>
        <w:t>26</w:t>
      </w:r>
    </w:p>
    <w:p>
      <w:pPr>
        <w:pStyle w:val="11"/>
        <w:adjustRightInd w:val="0"/>
        <w:snapToGrid w:val="0"/>
        <w:spacing w:line="440" w:lineRule="exact"/>
        <w:jc w:val="left"/>
        <w:rPr>
          <w:rFonts w:hint="eastAsia"/>
        </w:rPr>
      </w:pPr>
      <w:r>
        <w:rPr>
          <w:rFonts w:hint="eastAsia"/>
          <w:sz w:val="24"/>
        </w:rPr>
        <w:t>十三、国有资本经营</w:t>
      </w:r>
      <w:r>
        <w:rPr>
          <w:rFonts w:hint="eastAsia"/>
          <w:sz w:val="24"/>
          <w:lang w:eastAsia="zh-CN"/>
        </w:rPr>
        <w:t>预算财政拨款收入支出</w:t>
      </w:r>
      <w:r>
        <w:rPr>
          <w:rFonts w:hint="eastAsia"/>
          <w:sz w:val="24"/>
        </w:rPr>
        <w:t>决算表</w:t>
      </w:r>
      <w:r>
        <w:rPr>
          <w:rFonts w:ascii="Times New Roman" w:hAnsi="Times New Roman" w:eastAsia="宋体" w:cs="Times New Roman"/>
          <w:kern w:val="2"/>
          <w:sz w:val="21"/>
          <w:szCs w:val="24"/>
          <w:lang w:val="en-US" w:eastAsia="zh-CN" w:bidi="ar-SA"/>
        </w:rPr>
        <w:tab/>
      </w:r>
      <w:r>
        <w:rPr>
          <w:rFonts w:hint="eastAsia" w:cs="Times New Roman"/>
          <w:kern w:val="2"/>
          <w:sz w:val="21"/>
          <w:szCs w:val="24"/>
          <w:lang w:val="en-US" w:eastAsia="zh-CN" w:bidi="ar-SA"/>
        </w:rPr>
        <w:t>26</w:t>
      </w:r>
    </w:p>
    <w:p>
      <w:pPr>
        <w:pStyle w:val="11"/>
        <w:adjustRightInd w:val="0"/>
        <w:snapToGrid w:val="0"/>
        <w:spacing w:line="440" w:lineRule="exact"/>
        <w:jc w:val="left"/>
        <w:rPr>
          <w:rFonts w:hint="eastAsia" w:cs="Times New Roman"/>
          <w:kern w:val="2"/>
          <w:sz w:val="21"/>
          <w:szCs w:val="24"/>
          <w:lang w:val="en-US" w:eastAsia="zh-CN" w:bidi="ar-SA"/>
        </w:rPr>
      </w:pPr>
      <w:bookmarkStart w:id="12" w:name="_Toc15396599"/>
      <w:bookmarkStart w:id="13" w:name="_Toc15377196"/>
      <w:r>
        <w:rPr>
          <w:rFonts w:hint="eastAsia"/>
          <w:sz w:val="24"/>
        </w:rPr>
        <w:t>十</w:t>
      </w:r>
      <w:r>
        <w:rPr>
          <w:rFonts w:hint="eastAsia"/>
          <w:sz w:val="24"/>
          <w:lang w:eastAsia="zh-CN"/>
        </w:rPr>
        <w:t>四</w:t>
      </w:r>
      <w:r>
        <w:rPr>
          <w:rFonts w:hint="eastAsia"/>
          <w:sz w:val="24"/>
        </w:rPr>
        <w:t>、国有资本经营</w:t>
      </w:r>
      <w:r>
        <w:rPr>
          <w:rFonts w:hint="eastAsia"/>
          <w:sz w:val="24"/>
          <w:lang w:eastAsia="zh-CN"/>
        </w:rPr>
        <w:t>预算财政拨款支出</w:t>
      </w:r>
      <w:r>
        <w:rPr>
          <w:rFonts w:hint="eastAsia"/>
          <w:sz w:val="24"/>
        </w:rPr>
        <w:t>决算表</w:t>
      </w:r>
      <w:r>
        <w:rPr>
          <w:rFonts w:ascii="Times New Roman" w:hAnsi="Times New Roman" w:eastAsia="宋体" w:cs="Times New Roman"/>
          <w:kern w:val="2"/>
          <w:sz w:val="21"/>
          <w:szCs w:val="24"/>
          <w:lang w:val="en-US" w:eastAsia="zh-CN" w:bidi="ar-SA"/>
        </w:rPr>
        <w:tab/>
      </w:r>
      <w:r>
        <w:rPr>
          <w:rFonts w:hint="eastAsia" w:cs="Times New Roman"/>
          <w:kern w:val="2"/>
          <w:sz w:val="21"/>
          <w:szCs w:val="24"/>
          <w:lang w:val="en-US" w:eastAsia="zh-CN" w:bidi="ar-SA"/>
        </w:rPr>
        <w:t>26</w:t>
      </w:r>
    </w:p>
    <w:p>
      <w:pPr>
        <w:rPr>
          <w:rFonts w:hint="eastAsia"/>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pStyle w:val="2"/>
        <w:ind w:firstLine="1760" w:firstLineChars="400"/>
        <w:jc w:val="both"/>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6"/>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autoSpaceDE w:val="0"/>
        <w:autoSpaceDN w:val="0"/>
        <w:adjustRightInd w:val="0"/>
        <w:ind w:firstLine="640" w:firstLineChars="200"/>
        <w:jc w:val="left"/>
        <w:rPr>
          <w:rFonts w:hint="default" w:ascii="仿宋_GB2312" w:eastAsia="仿宋_GB2312" w:cs="仿宋_GB2312"/>
          <w:kern w:val="0"/>
          <w:sz w:val="32"/>
          <w:szCs w:val="32"/>
        </w:rPr>
      </w:pPr>
      <w:bookmarkStart w:id="16" w:name="_Toc15377198"/>
      <w:bookmarkStart w:id="17" w:name="_Toc15378445"/>
      <w:r>
        <w:rPr>
          <w:rFonts w:hint="eastAsia" w:ascii="仿宋" w:hAnsi="仿宋" w:eastAsia="仿宋"/>
          <w:bCs/>
          <w:color w:val="000000"/>
          <w:sz w:val="32"/>
          <w:szCs w:val="32"/>
        </w:rPr>
        <w:t>（一）主要职能。</w:t>
      </w:r>
      <w:r>
        <w:rPr>
          <w:rFonts w:hint="default" w:ascii="仿宋_GB2312" w:eastAsia="仿宋_GB2312" w:cs="仿宋_GB2312"/>
          <w:kern w:val="0"/>
          <w:sz w:val="32"/>
          <w:szCs w:val="32"/>
        </w:rPr>
        <w:t> </w:t>
      </w:r>
    </w:p>
    <w:p>
      <w:pPr>
        <w:autoSpaceDE w:val="0"/>
        <w:autoSpaceDN w:val="0"/>
        <w:adjustRightInd w:val="0"/>
        <w:ind w:firstLine="960" w:firstLineChars="300"/>
        <w:jc w:val="left"/>
        <w:rPr>
          <w:rFonts w:hint="eastAsia" w:ascii="仿宋" w:hAnsi="仿宋" w:eastAsia="仿宋"/>
          <w:bCs/>
          <w:color w:val="000000"/>
          <w:sz w:val="32"/>
          <w:szCs w:val="32"/>
        </w:rPr>
      </w:pPr>
      <w:r>
        <w:rPr>
          <w:rFonts w:hint="default" w:ascii="仿宋_GB2312" w:eastAsia="仿宋_GB2312" w:cs="仿宋_GB2312"/>
          <w:kern w:val="0"/>
          <w:sz w:val="32"/>
          <w:szCs w:val="32"/>
        </w:rPr>
        <w:t>巴中市中心医院是集医疗、教学、科研、预防、保健为一体的一家三级甲等医院，按政府安排承办巴中市中心医院传染病分院、紧急救援中心等公共卫生项目。医疗服务对象为巴中市及周边地区人群，还承担全市的突发公共卫生事件的医疗救助工作。</w:t>
      </w:r>
    </w:p>
    <w:bookmarkEnd w:id="16"/>
    <w:bookmarkEnd w:id="17"/>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w:t>
      </w:r>
      <w:r>
        <w:rPr>
          <w:rFonts w:hint="eastAsia" w:ascii="仿宋" w:hAnsi="仿宋" w:eastAsia="仿宋"/>
          <w:bCs/>
          <w:color w:val="000000"/>
          <w:sz w:val="32"/>
          <w:szCs w:val="32"/>
          <w:lang w:val="en-US" w:eastAsia="zh-CN"/>
        </w:rPr>
        <w:t>20</w:t>
      </w:r>
      <w:r>
        <w:rPr>
          <w:rFonts w:hint="eastAsia" w:ascii="仿宋" w:hAnsi="仿宋" w:eastAsia="仿宋"/>
          <w:bCs/>
          <w:color w:val="000000"/>
          <w:sz w:val="32"/>
          <w:szCs w:val="32"/>
        </w:rPr>
        <w:t>年重点工作完成情况。</w:t>
      </w:r>
      <w:bookmarkEnd w:id="18"/>
      <w:bookmarkEnd w:id="19"/>
    </w:p>
    <w:p>
      <w:pPr>
        <w:autoSpaceDE w:val="0"/>
        <w:autoSpaceDN w:val="0"/>
        <w:adjustRightInd w:val="0"/>
        <w:ind w:firstLine="960" w:firstLineChars="3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20</w:t>
      </w:r>
      <w:r>
        <w:rPr>
          <w:rFonts w:hint="eastAsia" w:ascii="仿宋_GB2312" w:eastAsia="仿宋_GB2312" w:cs="仿宋_GB2312"/>
          <w:kern w:val="0"/>
          <w:sz w:val="32"/>
          <w:szCs w:val="32"/>
          <w:lang w:val="en-US" w:eastAsia="zh-CN"/>
        </w:rPr>
        <w:t>20</w:t>
      </w:r>
      <w:r>
        <w:rPr>
          <w:rFonts w:hint="eastAsia" w:ascii="仿宋_GB2312" w:eastAsia="仿宋_GB2312" w:cs="仿宋_GB2312"/>
          <w:kern w:val="0"/>
          <w:sz w:val="32"/>
          <w:szCs w:val="32"/>
        </w:rPr>
        <w:t>年，</w:t>
      </w:r>
      <w:r>
        <w:rPr>
          <w:rFonts w:hint="eastAsia" w:ascii="仿宋_GB2312" w:eastAsia="仿宋_GB2312" w:cs="仿宋_GB2312"/>
          <w:kern w:val="0"/>
          <w:sz w:val="32"/>
          <w:szCs w:val="32"/>
          <w:lang w:eastAsia="zh-CN"/>
        </w:rPr>
        <w:t>巴中市中心医院把</w:t>
      </w:r>
      <w:r>
        <w:rPr>
          <w:rFonts w:hint="eastAsia" w:ascii="仿宋_GB2312" w:eastAsia="仿宋_GB2312" w:cs="仿宋_GB2312"/>
          <w:kern w:val="0"/>
          <w:sz w:val="32"/>
          <w:szCs w:val="32"/>
        </w:rPr>
        <w:t>政治建设放在首位，党建引领成效明显</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以提质增量为重点，医疗业务大幅提升</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以精细化管理为核心，管理实效明显提高</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以深化改革为动力，患者满意度明显提高</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作为新型冠状病毒感染的肺炎医疗救治市级定点医院，全体医院员工投入到疫情防控工作中。</w:t>
      </w:r>
    </w:p>
    <w:p>
      <w:pPr>
        <w:pStyle w:val="3"/>
        <w:rPr>
          <w:rStyle w:val="26"/>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0"/>
      <w:bookmarkEnd w:id="21"/>
    </w:p>
    <w:p>
      <w:pPr>
        <w:autoSpaceDE w:val="0"/>
        <w:autoSpaceDN w:val="0"/>
        <w:adjustRightInd w:val="0"/>
        <w:ind w:firstLine="960" w:firstLineChars="300"/>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巴中市中心医院是巴中市财政局社保科对口管理的一级预算拨款定额定项补助单位</w:t>
      </w:r>
      <w:r>
        <w:rPr>
          <w:rFonts w:hint="eastAsia" w:ascii="仿宋_GB2312" w:eastAsia="仿宋_GB2312" w:cs="仿宋_GB2312"/>
          <w:kern w:val="0"/>
          <w:sz w:val="32"/>
          <w:szCs w:val="32"/>
          <w:lang w:eastAsia="zh-CN"/>
        </w:rPr>
        <w:t>，无下属二级单位。</w:t>
      </w:r>
    </w:p>
    <w:p>
      <w:pPr>
        <w:rPr>
          <w:rFonts w:hint="eastAsia" w:ascii="仿宋_GB2312" w:eastAsia="仿宋_GB2312" w:cs="仿宋_GB2312"/>
          <w:kern w:val="0"/>
          <w:sz w:val="32"/>
          <w:szCs w:val="32"/>
          <w:lang w:eastAsia="zh-CN"/>
        </w:rPr>
      </w:pPr>
    </w:p>
    <w:p>
      <w:pPr>
        <w:pStyle w:val="2"/>
        <w:ind w:right="440"/>
        <w:jc w:val="right"/>
        <w:rPr>
          <w:rStyle w:val="25"/>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w:t>
      </w:r>
      <w:r>
        <w:rPr>
          <w:rStyle w:val="25"/>
          <w:rFonts w:hint="eastAsia" w:ascii="黑体" w:hAnsi="黑体" w:eastAsia="黑体"/>
          <w:b w:val="0"/>
          <w:bCs w:val="0"/>
          <w:lang w:val="en-US" w:eastAsia="zh-CN"/>
        </w:rPr>
        <w:t>20</w:t>
      </w:r>
      <w:r>
        <w:rPr>
          <w:rStyle w:val="25"/>
          <w:rFonts w:hint="eastAsia" w:ascii="黑体" w:hAnsi="黑体" w:eastAsia="黑体"/>
          <w:b w:val="0"/>
          <w:bCs w:val="0"/>
        </w:rPr>
        <w:t>年度部门决算情况说明</w:t>
      </w:r>
      <w:bookmarkEnd w:id="22"/>
      <w:bookmarkEnd w:id="23"/>
    </w:p>
    <w:p/>
    <w:p>
      <w:pPr>
        <w:pStyle w:val="24"/>
        <w:numPr>
          <w:ilvl w:val="0"/>
          <w:numId w:val="1"/>
        </w:numPr>
        <w:spacing w:line="600" w:lineRule="exact"/>
        <w:ind w:firstLineChars="0"/>
        <w:outlineLvl w:val="1"/>
        <w:rPr>
          <w:rStyle w:val="26"/>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4"/>
      <w:bookmarkEnd w:id="25"/>
    </w:p>
    <w:p>
      <w:pPr>
        <w:autoSpaceDE w:val="0"/>
        <w:autoSpaceDN w:val="0"/>
        <w:adjustRightInd w:val="0"/>
        <w:ind w:firstLine="960" w:firstLineChars="300"/>
        <w:jc w:val="left"/>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2020年总收入96035.63万元，去年100316.76万元，较去年减少4281.13万元，同比增幅-4.27%；2020年总支出96204.35万元，去年102667.34万元，同比增幅-6.30%。今年事业决算收入和支出同比减少主要是因为新冠肺炎疫情爆发，大部分患者为了规避感染风险，一般小病选择就近就诊或转向网络咨询，所以医院患者就诊量大幅下降；收入同比减少，支出也就同比减少。</w:t>
      </w:r>
    </w:p>
    <w:p>
      <w:pPr>
        <w:ind w:firstLine="525" w:firstLineChars="250"/>
        <w:rPr>
          <w:rFonts w:ascii="仿宋_GB2312" w:eastAsia="仿宋_GB2312"/>
          <w:color w:val="000000"/>
          <w:sz w:val="32"/>
          <w:szCs w:val="32"/>
        </w:rPr>
      </w:pPr>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24"/>
          <w:szCs w:val="24"/>
          <w:lang w:val="en-US" w:eastAsia="zh-CN"/>
          <w14:textFill>
            <w14:solidFill>
              <w14:schemeClr w14:val="tx1"/>
            </w14:solidFill>
          </w14:textFill>
        </w:rPr>
        <w:t xml:space="preserve"> </w:t>
      </w:r>
    </w:p>
    <w:p>
      <w:pPr>
        <w:pStyle w:val="24"/>
        <w:numPr>
          <w:ilvl w:val="0"/>
          <w:numId w:val="1"/>
        </w:numPr>
        <w:spacing w:line="600" w:lineRule="exact"/>
        <w:ind w:firstLineChars="0"/>
        <w:outlineLvl w:val="1"/>
        <w:rPr>
          <w:rStyle w:val="26"/>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6"/>
          <w:rFonts w:hint="eastAsia" w:ascii="黑体" w:hAnsi="黑体" w:eastAsia="黑体"/>
          <w:b w:val="0"/>
        </w:rPr>
        <w:t>入决算情况说明</w:t>
      </w:r>
      <w:bookmarkEnd w:id="26"/>
      <w:bookmarkEnd w:id="27"/>
    </w:p>
    <w:p>
      <w:pPr>
        <w:ind w:firstLine="800" w:firstLineChars="250"/>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lang w:eastAsia="zh-CN"/>
        </w:rPr>
        <w:t>20</w:t>
      </w:r>
      <w:r>
        <w:rPr>
          <w:rFonts w:hint="eastAsia" w:ascii="仿宋_GB2312" w:eastAsia="仿宋_GB2312" w:cs="仿宋_GB2312"/>
          <w:kern w:val="0"/>
          <w:sz w:val="32"/>
          <w:szCs w:val="32"/>
          <w:lang w:val="en-US" w:eastAsia="zh-CN"/>
        </w:rPr>
        <w:t>20</w:t>
      </w:r>
      <w:r>
        <w:rPr>
          <w:rFonts w:hint="eastAsia" w:ascii="仿宋_GB2312" w:eastAsia="仿宋_GB2312" w:cs="仿宋_GB2312"/>
          <w:kern w:val="0"/>
          <w:sz w:val="32"/>
          <w:szCs w:val="32"/>
          <w:lang w:eastAsia="zh-CN"/>
        </w:rPr>
        <w:t>年本年收入合计</w:t>
      </w:r>
      <w:r>
        <w:rPr>
          <w:rFonts w:hint="eastAsia" w:ascii="仿宋_GB2312" w:eastAsia="仿宋_GB2312" w:cs="仿宋_GB2312"/>
          <w:kern w:val="0"/>
          <w:sz w:val="32"/>
          <w:szCs w:val="32"/>
          <w:lang w:val="en-US" w:eastAsia="zh-CN"/>
        </w:rPr>
        <w:t>96035.63</w:t>
      </w:r>
      <w:r>
        <w:rPr>
          <w:rFonts w:hint="eastAsia" w:ascii="仿宋_GB2312" w:eastAsia="仿宋_GB2312" w:cs="仿宋_GB2312"/>
          <w:kern w:val="0"/>
          <w:sz w:val="32"/>
          <w:szCs w:val="32"/>
          <w:lang w:eastAsia="zh-CN"/>
        </w:rPr>
        <w:t>万元，其中：一般公共预算财政拨款收入</w:t>
      </w:r>
      <w:r>
        <w:rPr>
          <w:rFonts w:hint="eastAsia" w:ascii="仿宋_GB2312" w:eastAsia="仿宋_GB2312" w:cs="仿宋_GB2312"/>
          <w:kern w:val="0"/>
          <w:sz w:val="32"/>
          <w:szCs w:val="32"/>
          <w:lang w:val="en-US" w:eastAsia="zh-CN"/>
        </w:rPr>
        <w:t>4558.34</w:t>
      </w:r>
      <w:r>
        <w:rPr>
          <w:rFonts w:hint="eastAsia" w:ascii="仿宋_GB2312" w:eastAsia="仿宋_GB2312" w:cs="仿宋_GB2312"/>
          <w:kern w:val="0"/>
          <w:sz w:val="32"/>
          <w:szCs w:val="32"/>
          <w:lang w:eastAsia="zh-CN"/>
        </w:rPr>
        <w:t>万元，占</w:t>
      </w:r>
      <w:r>
        <w:rPr>
          <w:rFonts w:hint="eastAsia" w:ascii="仿宋_GB2312" w:eastAsia="仿宋_GB2312" w:cs="仿宋_GB2312"/>
          <w:kern w:val="0"/>
          <w:sz w:val="32"/>
          <w:szCs w:val="32"/>
          <w:lang w:val="en-US" w:eastAsia="zh-CN"/>
        </w:rPr>
        <w:t>4.75</w:t>
      </w:r>
      <w:r>
        <w:rPr>
          <w:rFonts w:hint="eastAsia" w:ascii="仿宋_GB2312" w:eastAsia="仿宋_GB2312" w:cs="仿宋_GB2312"/>
          <w:kern w:val="0"/>
          <w:sz w:val="32"/>
          <w:szCs w:val="32"/>
          <w:lang w:eastAsia="zh-CN"/>
        </w:rPr>
        <w:t>%；政府性基金预算财政拨款收入</w:t>
      </w:r>
      <w:r>
        <w:rPr>
          <w:rFonts w:hint="eastAsia" w:ascii="仿宋_GB2312" w:eastAsia="仿宋_GB2312" w:cs="仿宋_GB2312"/>
          <w:kern w:val="0"/>
          <w:sz w:val="32"/>
          <w:szCs w:val="32"/>
          <w:lang w:val="en-US" w:eastAsia="zh-CN"/>
        </w:rPr>
        <w:t>1624</w:t>
      </w:r>
      <w:r>
        <w:rPr>
          <w:rFonts w:hint="eastAsia" w:ascii="仿宋_GB2312" w:eastAsia="仿宋_GB2312" w:cs="仿宋_GB2312"/>
          <w:kern w:val="0"/>
          <w:sz w:val="32"/>
          <w:szCs w:val="32"/>
          <w:lang w:eastAsia="zh-CN"/>
        </w:rPr>
        <w:t>万元，占</w:t>
      </w:r>
      <w:r>
        <w:rPr>
          <w:rFonts w:hint="eastAsia" w:ascii="仿宋_GB2312" w:eastAsia="仿宋_GB2312" w:cs="仿宋_GB2312"/>
          <w:kern w:val="0"/>
          <w:sz w:val="32"/>
          <w:szCs w:val="32"/>
          <w:lang w:val="en-US" w:eastAsia="zh-CN"/>
        </w:rPr>
        <w:t>1.69</w:t>
      </w:r>
      <w:r>
        <w:rPr>
          <w:rFonts w:hint="eastAsia" w:ascii="仿宋_GB2312" w:eastAsia="仿宋_GB2312" w:cs="仿宋_GB2312"/>
          <w:kern w:val="0"/>
          <w:sz w:val="32"/>
          <w:szCs w:val="32"/>
          <w:lang w:eastAsia="zh-CN"/>
        </w:rPr>
        <w:t>%；上级补助收入</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lang w:eastAsia="zh-CN"/>
        </w:rPr>
        <w:t>万元，占</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lang w:eastAsia="zh-CN"/>
        </w:rPr>
        <w:t>%；事业收入</w:t>
      </w:r>
      <w:r>
        <w:rPr>
          <w:rFonts w:hint="eastAsia" w:ascii="仿宋_GB2312" w:eastAsia="仿宋_GB2312" w:cs="仿宋_GB2312"/>
          <w:kern w:val="0"/>
          <w:sz w:val="32"/>
          <w:szCs w:val="32"/>
          <w:lang w:val="en-US" w:eastAsia="zh-CN"/>
        </w:rPr>
        <w:t>88690.21</w:t>
      </w:r>
      <w:r>
        <w:rPr>
          <w:rFonts w:hint="eastAsia" w:ascii="仿宋_GB2312" w:eastAsia="仿宋_GB2312" w:cs="仿宋_GB2312"/>
          <w:kern w:val="0"/>
          <w:sz w:val="32"/>
          <w:szCs w:val="32"/>
          <w:lang w:eastAsia="zh-CN"/>
        </w:rPr>
        <w:t>万元，占</w:t>
      </w:r>
      <w:r>
        <w:rPr>
          <w:rFonts w:hint="eastAsia" w:ascii="仿宋_GB2312" w:eastAsia="仿宋_GB2312" w:cs="仿宋_GB2312"/>
          <w:kern w:val="0"/>
          <w:sz w:val="32"/>
          <w:szCs w:val="32"/>
          <w:lang w:val="en-US" w:eastAsia="zh-CN"/>
        </w:rPr>
        <w:t>92.35</w:t>
      </w:r>
      <w:r>
        <w:rPr>
          <w:rFonts w:hint="eastAsia" w:ascii="仿宋_GB2312" w:eastAsia="仿宋_GB2312" w:cs="仿宋_GB2312"/>
          <w:kern w:val="0"/>
          <w:sz w:val="32"/>
          <w:szCs w:val="32"/>
          <w:lang w:eastAsia="zh-CN"/>
        </w:rPr>
        <w:t>%；经营收入</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lang w:eastAsia="zh-CN"/>
        </w:rPr>
        <w:t>万元，占</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lang w:eastAsia="zh-CN"/>
        </w:rPr>
        <w:t>%；附属单位上缴收入</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lang w:eastAsia="zh-CN"/>
        </w:rPr>
        <w:t>万元，占</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lang w:eastAsia="zh-CN"/>
        </w:rPr>
        <w:t>%；其他收入</w:t>
      </w:r>
      <w:r>
        <w:rPr>
          <w:rFonts w:hint="eastAsia" w:ascii="仿宋_GB2312" w:eastAsia="仿宋_GB2312" w:cs="仿宋_GB2312"/>
          <w:kern w:val="0"/>
          <w:sz w:val="32"/>
          <w:szCs w:val="32"/>
          <w:lang w:val="en-US" w:eastAsia="zh-CN"/>
        </w:rPr>
        <w:t>1163.08</w:t>
      </w:r>
      <w:r>
        <w:rPr>
          <w:rFonts w:hint="eastAsia" w:ascii="仿宋_GB2312" w:eastAsia="仿宋_GB2312" w:cs="仿宋_GB2312"/>
          <w:kern w:val="0"/>
          <w:sz w:val="32"/>
          <w:szCs w:val="32"/>
          <w:lang w:eastAsia="zh-CN"/>
        </w:rPr>
        <w:t>万元，占</w:t>
      </w:r>
      <w:r>
        <w:rPr>
          <w:rFonts w:hint="eastAsia" w:ascii="仿宋_GB2312" w:eastAsia="仿宋_GB2312" w:cs="仿宋_GB2312"/>
          <w:kern w:val="0"/>
          <w:sz w:val="32"/>
          <w:szCs w:val="32"/>
          <w:lang w:val="en-US" w:eastAsia="zh-CN"/>
        </w:rPr>
        <w:t>1.21</w:t>
      </w:r>
      <w:r>
        <w:rPr>
          <w:rFonts w:hint="eastAsia" w:ascii="仿宋_GB2312" w:eastAsia="仿宋_GB2312" w:cs="仿宋_GB2312"/>
          <w:kern w:val="0"/>
          <w:sz w:val="32"/>
          <w:szCs w:val="32"/>
          <w:lang w:eastAsia="zh-CN"/>
        </w:rPr>
        <w:t>%。</w:t>
      </w:r>
    </w:p>
    <w:p>
      <w:pPr>
        <w:spacing w:line="240" w:lineRule="auto"/>
        <w:rPr>
          <w:rFonts w:hint="eastAsia" w:ascii="仿宋_GB2312" w:eastAsia="仿宋_GB2312"/>
          <w:color w:val="FF0000"/>
          <w:sz w:val="32"/>
          <w:szCs w:val="32"/>
          <w:lang w:eastAsia="zh-CN"/>
        </w:rPr>
      </w:pPr>
      <w:r>
        <w:rPr>
          <w:rFonts w:hint="eastAsia"/>
          <w:lang w:val="en-US" w:eastAsia="zh-CN"/>
        </w:rPr>
        <w:t xml:space="preserve">    </w:t>
      </w:r>
      <w:r>
        <w:drawing>
          <wp:inline distT="0" distB="0" distL="114300" distR="114300">
            <wp:extent cx="4638675" cy="2333625"/>
            <wp:effectExtent l="5080" t="4445" r="4445" b="5080"/>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240" w:lineRule="auto"/>
        <w:rPr>
          <w:rFonts w:hint="eastAsia" w:ascii="仿宋_GB2312" w:eastAsia="仿宋_GB2312"/>
          <w:color w:val="FF0000"/>
          <w:sz w:val="32"/>
          <w:szCs w:val="32"/>
          <w:lang w:eastAsia="zh-CN"/>
        </w:rPr>
      </w:pPr>
    </w:p>
    <w:p>
      <w:pPr>
        <w:pStyle w:val="24"/>
        <w:numPr>
          <w:ilvl w:val="0"/>
          <w:numId w:val="1"/>
        </w:numPr>
        <w:spacing w:line="600" w:lineRule="exact"/>
        <w:ind w:firstLineChars="0"/>
        <w:outlineLvl w:val="1"/>
        <w:rPr>
          <w:rStyle w:val="26"/>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6"/>
          <w:rFonts w:hint="eastAsia" w:ascii="黑体" w:hAnsi="黑体" w:eastAsia="黑体"/>
          <w:b w:val="0"/>
        </w:rPr>
        <w:t>出决算情况说明</w:t>
      </w:r>
      <w:bookmarkEnd w:id="28"/>
      <w:bookmarkEnd w:id="29"/>
    </w:p>
    <w:p>
      <w:pPr>
        <w:ind w:firstLine="800" w:firstLineChars="250"/>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2020年医院本年总支出96204.35万元，基本支出90765.95万元，占94.35%；项目支出5438.40万元，占5.65%；上缴上级支出0万元，占0%；经营支出0万元，占0%；对附属单位补助支出0万元，占0%。</w:t>
      </w:r>
    </w:p>
    <w:p>
      <w:pPr>
        <w:autoSpaceDE w:val="0"/>
        <w:autoSpaceDN w:val="0"/>
        <w:adjustRightInd w:val="0"/>
        <w:ind w:firstLine="640" w:firstLineChars="200"/>
        <w:jc w:val="left"/>
        <w:rPr>
          <w:rFonts w:hint="eastAsia" w:ascii="仿宋_GB2312" w:eastAsia="仿宋_GB2312" w:cs="仿宋_GB2312"/>
          <w:kern w:val="0"/>
          <w:sz w:val="32"/>
          <w:szCs w:val="32"/>
          <w:lang w:val="en-US" w:eastAsia="zh-CN"/>
        </w:rPr>
      </w:pPr>
    </w:p>
    <w:p>
      <w:pPr>
        <w:autoSpaceDE w:val="0"/>
        <w:autoSpaceDN w:val="0"/>
        <w:adjustRightInd w:val="0"/>
        <w:ind w:firstLine="640" w:firstLineChars="200"/>
        <w:jc w:val="left"/>
        <w:rPr>
          <w:rFonts w:hint="eastAsia" w:ascii="仿宋_GB2312" w:eastAsia="仿宋_GB2312" w:cs="仿宋_GB2312"/>
          <w:kern w:val="0"/>
          <w:sz w:val="32"/>
          <w:szCs w:val="32"/>
          <w:lang w:val="en-US" w:eastAsia="zh-CN"/>
        </w:rPr>
      </w:pPr>
    </w:p>
    <w:p>
      <w:pPr>
        <w:autoSpaceDE w:val="0"/>
        <w:autoSpaceDN w:val="0"/>
        <w:adjustRightInd w:val="0"/>
        <w:ind w:firstLine="420" w:firstLineChars="200"/>
        <w:jc w:val="left"/>
        <w:rPr>
          <w:rFonts w:hint="eastAsia" w:ascii="仿宋_GB2312" w:eastAsia="仿宋_GB2312" w:cs="仿宋_GB2312"/>
          <w:kern w:val="0"/>
          <w:sz w:val="32"/>
          <w:szCs w:val="32"/>
          <w:lang w:eastAsia="zh-CN"/>
        </w:rPr>
      </w:pPr>
      <w:r>
        <w:drawing>
          <wp:inline distT="0" distB="0" distL="114300" distR="114300">
            <wp:extent cx="4514850" cy="2295525"/>
            <wp:effectExtent l="4445" t="4445" r="14605" b="508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800" w:firstLineChars="250"/>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2020年医院本年总支出96204.35万元，去年102667.34万元，增幅-6.30%。决算总支出下降主要是因为新冠肺炎疫情爆发，大部分患者为了规避感染风险，一般小病选择就近就诊或转向网络咨询，所以医院患者就诊量大幅下降。医疗收入同比下降，相应支出也就同比下降。</w:t>
      </w:r>
    </w:p>
    <w:p>
      <w:pPr>
        <w:ind w:firstLine="800" w:firstLineChars="250"/>
        <w:rPr>
          <w:rFonts w:hint="eastAsia" w:ascii="仿宋_GB2312" w:eastAsia="仿宋_GB2312" w:cs="仿宋_GB2312"/>
          <w:kern w:val="0"/>
          <w:sz w:val="32"/>
          <w:szCs w:val="32"/>
          <w:lang w:val="en-US" w:eastAsia="zh-CN"/>
        </w:rPr>
      </w:pPr>
    </w:p>
    <w:p>
      <w:pPr>
        <w:numPr>
          <w:ilvl w:val="0"/>
          <w:numId w:val="2"/>
        </w:numPr>
        <w:spacing w:line="600" w:lineRule="exact"/>
        <w:ind w:firstLine="640" w:firstLineChars="200"/>
        <w:outlineLvl w:val="1"/>
        <w:rPr>
          <w:rStyle w:val="26"/>
          <w:rFonts w:hint="eastAsia" w:ascii="黑体" w:hAnsi="黑体" w:eastAsia="黑体"/>
          <w:b w:val="0"/>
        </w:rPr>
      </w:pPr>
      <w:bookmarkStart w:id="30" w:name="_Toc15396606"/>
      <w:bookmarkStart w:id="31" w:name="_Toc15377208"/>
      <w:r>
        <w:rPr>
          <w:rFonts w:hint="eastAsia" w:ascii="黑体" w:hAnsi="黑体" w:eastAsia="黑体"/>
          <w:color w:val="000000"/>
          <w:sz w:val="32"/>
          <w:szCs w:val="32"/>
        </w:rPr>
        <w:t>财</w:t>
      </w:r>
      <w:r>
        <w:rPr>
          <w:rStyle w:val="26"/>
          <w:rFonts w:hint="eastAsia" w:ascii="黑体" w:hAnsi="黑体" w:eastAsia="黑体"/>
          <w:b w:val="0"/>
        </w:rPr>
        <w:t>政拨款收入支出决算总体情况说明</w:t>
      </w:r>
      <w:bookmarkEnd w:id="30"/>
      <w:bookmarkEnd w:id="31"/>
    </w:p>
    <w:p>
      <w:pPr>
        <w:ind w:firstLine="800" w:firstLineChars="250"/>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2020年财政拨款收入总计6182.34万元与2019年相比，财政拨款收入增加2725.34万元，增长率78.84%。</w:t>
      </w:r>
    </w:p>
    <w:p>
      <w:pPr>
        <w:ind w:firstLine="800" w:firstLineChars="250"/>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2020年财政拨款支出总计5907.12万元。与2019年相比财政拨款支出总计增加2429.12万元，增长69.84%。</w:t>
      </w:r>
    </w:p>
    <w:p>
      <w:pPr>
        <w:ind w:firstLine="800" w:firstLineChars="250"/>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财政拨款收入、支出同比增长较多主要是政府因抗击新冠肺炎疫情下达了财政拨款。</w:t>
      </w:r>
    </w:p>
    <w:p>
      <w:pPr>
        <w:ind w:firstLine="525" w:firstLineChars="250"/>
        <w:rPr>
          <w:rFonts w:hint="eastAsia" w:ascii="仿宋_GB2312" w:eastAsia="仿宋_GB2312" w:cs="仿宋_GB2312"/>
          <w:kern w:val="0"/>
          <w:sz w:val="32"/>
          <w:szCs w:val="32"/>
          <w:lang w:val="en-US" w:eastAsia="zh-CN"/>
        </w:rPr>
      </w:pPr>
      <w:r>
        <w:drawing>
          <wp:inline distT="0" distB="0" distL="114300" distR="114300">
            <wp:extent cx="4572000" cy="2743200"/>
            <wp:effectExtent l="4445" t="4445" r="1460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240" w:lineRule="auto"/>
        <w:ind w:firstLine="640"/>
        <w:rPr>
          <w:rFonts w:hint="eastAsia" w:ascii="仿宋" w:hAnsi="仿宋" w:eastAsia="仿宋"/>
          <w:b/>
          <w:color w:val="00B050"/>
          <w:sz w:val="32"/>
          <w:szCs w:val="32"/>
          <w:lang w:eastAsia="zh-CN"/>
        </w:rPr>
      </w:pPr>
    </w:p>
    <w:p>
      <w:pPr>
        <w:spacing w:line="600" w:lineRule="exact"/>
        <w:ind w:firstLine="640" w:firstLineChars="200"/>
        <w:outlineLvl w:val="1"/>
        <w:rPr>
          <w:rStyle w:val="26"/>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2"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ind w:firstLine="800" w:firstLineChars="250"/>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2020年一般公共预算财政拨款支出4283.12万元，占本年支出合计的4.45%。与2019年相比，一般公共预算财政拨款增加805.12万元，增长23.15%。主要变动原因是为抗击新冠疫情支出的财政拨款。</w:t>
      </w:r>
    </w:p>
    <w:p>
      <w:pPr>
        <w:spacing w:line="240" w:lineRule="auto"/>
        <w:ind w:firstLine="640" w:firstLineChars="200"/>
        <w:rPr>
          <w:rFonts w:hint="eastAsia" w:ascii="仿宋" w:hAnsi="仿宋" w:eastAsia="仿宋"/>
          <w:color w:val="000000"/>
          <w:sz w:val="32"/>
          <w:szCs w:val="32"/>
          <w:lang w:eastAsia="zh-CN"/>
        </w:rPr>
      </w:pPr>
    </w:p>
    <w:p>
      <w:pPr>
        <w:spacing w:line="240" w:lineRule="auto"/>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5003800" cy="2770505"/>
            <wp:effectExtent l="0" t="0" r="6350" b="10795"/>
            <wp:docPr id="12" name="图片 12"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未命名"/>
                    <pic:cNvPicPr>
                      <a:picLocks noChangeAspect="1"/>
                    </pic:cNvPicPr>
                  </pic:nvPicPr>
                  <pic:blipFill>
                    <a:blip r:embed="rId10"/>
                    <a:srcRect l="542" t="1807" r="23184" b="21437"/>
                    <a:stretch>
                      <a:fillRect/>
                    </a:stretch>
                  </pic:blipFill>
                  <pic:spPr>
                    <a:xfrm>
                      <a:off x="0" y="0"/>
                      <a:ext cx="5003800" cy="2770505"/>
                    </a:xfrm>
                    <a:prstGeom prst="rect">
                      <a:avLst/>
                    </a:prstGeom>
                  </pic:spPr>
                </pic:pic>
              </a:graphicData>
            </a:graphic>
          </wp:inline>
        </w:drawing>
      </w:r>
    </w:p>
    <w:p>
      <w:pPr>
        <w:spacing w:line="240" w:lineRule="auto"/>
        <w:ind w:firstLine="640" w:firstLineChars="200"/>
        <w:rPr>
          <w:rFonts w:hint="eastAsia" w:ascii="仿宋" w:hAnsi="仿宋" w:eastAsia="仿宋"/>
          <w:color w:val="000000" w:themeColor="text1"/>
          <w:sz w:val="32"/>
          <w:szCs w:val="32"/>
          <w:lang w:eastAsia="zh-CN"/>
          <w14:textFill>
            <w14:solidFill>
              <w14:schemeClr w14:val="tx1"/>
            </w14:solidFill>
          </w14:textFill>
        </w:rPr>
      </w:pPr>
    </w:p>
    <w:p>
      <w:pPr>
        <w:spacing w:line="600" w:lineRule="exact"/>
        <w:ind w:firstLine="642"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pPr>
      <w:r>
        <w:rPr>
          <w:rFonts w:hint="eastAsia" w:ascii="仿宋_GB2312" w:eastAsia="仿宋_GB2312" w:cs="仿宋_GB2312"/>
          <w:kern w:val="0"/>
          <w:sz w:val="32"/>
          <w:szCs w:val="32"/>
          <w:lang w:val="en-US" w:eastAsia="zh-CN"/>
        </w:rPr>
        <w:t>2020年一般公共预算财政拨款支出4283.12万元，主要用于以下方面:一般公共服务（类）支出8万元，占0.19%（其中引进人才费用8万元）；教育支出（类）0万元，占0%；科学技术（类）支出0万元，占0%；文化旅游体育与传媒（类）支出0万元，占0%；社会保障和就业（类）支出0万元，占0%；卫生健康支出4275.12万元，占99.81%（ 其中综合医院2505万元、基本公共卫生服务19.04万元、重大公共卫生专项443.67万元、突发公共卫生事件应急处理586.67万元、 其他卫生健康支出720.74万元）；住房保障支出0万元，占0%。</w:t>
      </w:r>
    </w:p>
    <w:p>
      <w:pPr>
        <w:spacing w:line="240" w:lineRule="auto"/>
        <w:rPr>
          <w:rFonts w:hint="eastAsia" w:eastAsia="宋体"/>
          <w:lang w:eastAsia="zh-CN"/>
        </w:rPr>
      </w:pPr>
    </w:p>
    <w:p>
      <w:pPr>
        <w:spacing w:line="240" w:lineRule="auto"/>
        <w:rPr>
          <w:rFonts w:ascii="仿宋" w:hAnsi="仿宋" w:eastAsia="仿宋"/>
          <w:color w:val="000000"/>
          <w:sz w:val="32"/>
          <w:szCs w:val="32"/>
        </w:rPr>
      </w:pPr>
      <w:r>
        <w:rPr>
          <w:rFonts w:hint="eastAsia" w:eastAsia="宋体"/>
          <w:lang w:eastAsia="zh-CN"/>
        </w:rPr>
        <w:drawing>
          <wp:inline distT="0" distB="0" distL="114300" distR="114300">
            <wp:extent cx="4913630" cy="2851785"/>
            <wp:effectExtent l="0" t="0" r="1270" b="5715"/>
            <wp:docPr id="15" name="图片 15" descr="未命名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未命名4"/>
                    <pic:cNvPicPr>
                      <a:picLocks noChangeAspect="1"/>
                    </pic:cNvPicPr>
                  </pic:nvPicPr>
                  <pic:blipFill>
                    <a:blip r:embed="rId11"/>
                    <a:srcRect r="24509" b="24026"/>
                    <a:stretch>
                      <a:fillRect/>
                    </a:stretch>
                  </pic:blipFill>
                  <pic:spPr>
                    <a:xfrm>
                      <a:off x="0" y="0"/>
                      <a:ext cx="4913630" cy="2851785"/>
                    </a:xfrm>
                    <a:prstGeom prst="rect">
                      <a:avLst/>
                    </a:prstGeom>
                  </pic:spPr>
                </pic:pic>
              </a:graphicData>
            </a:graphic>
          </wp:inline>
        </w:drawing>
      </w:r>
    </w:p>
    <w:p>
      <w:pPr>
        <w:spacing w:line="600" w:lineRule="exact"/>
        <w:ind w:firstLine="642" w:firstLineChars="200"/>
        <w:outlineLvl w:val="2"/>
        <w:rPr>
          <w:rFonts w:hint="eastAsia" w:ascii="仿宋" w:hAnsi="仿宋" w:eastAsia="仿宋"/>
          <w:b/>
          <w:color w:val="000000"/>
          <w:sz w:val="32"/>
          <w:szCs w:val="32"/>
        </w:rPr>
      </w:pPr>
      <w:bookmarkStart w:id="36" w:name="_Toc15377212"/>
    </w:p>
    <w:p>
      <w:pPr>
        <w:spacing w:line="600" w:lineRule="exact"/>
        <w:ind w:firstLine="642" w:firstLineChars="2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36"/>
    </w:p>
    <w:p>
      <w:pPr>
        <w:numPr>
          <w:ilvl w:val="0"/>
          <w:numId w:val="0"/>
        </w:numPr>
        <w:spacing w:line="600" w:lineRule="exact"/>
        <w:ind w:firstLine="320" w:firstLineChars="100"/>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2020年一般公共预算支出决算数为4283.12万元，完成预算100%。其中：</w:t>
      </w:r>
    </w:p>
    <w:p>
      <w:pPr>
        <w:numPr>
          <w:ilvl w:val="0"/>
          <w:numId w:val="0"/>
        </w:numPr>
        <w:spacing w:line="600" w:lineRule="exact"/>
        <w:ind w:firstLine="321" w:firstLineChars="100"/>
        <w:rPr>
          <w:rFonts w:hint="eastAsia" w:ascii="仿宋_GB2312" w:eastAsia="仿宋_GB2312" w:cs="仿宋_GB2312"/>
          <w:kern w:val="0"/>
          <w:sz w:val="32"/>
          <w:szCs w:val="32"/>
          <w:lang w:val="en-US" w:eastAsia="zh-CN"/>
        </w:rPr>
      </w:pPr>
      <w:r>
        <w:rPr>
          <w:rStyle w:val="15"/>
          <w:rFonts w:hint="eastAsia" w:ascii="仿宋" w:hAnsi="仿宋" w:eastAsia="仿宋"/>
          <w:bCs/>
          <w:color w:val="000000"/>
          <w:sz w:val="32"/>
          <w:szCs w:val="32"/>
          <w:lang w:val="en-US" w:eastAsia="zh-CN"/>
        </w:rPr>
        <w:t>1.</w:t>
      </w:r>
      <w:r>
        <w:rPr>
          <w:rStyle w:val="15"/>
          <w:rFonts w:hint="eastAsia" w:ascii="仿宋" w:hAnsi="仿宋" w:eastAsia="仿宋"/>
          <w:bCs/>
          <w:color w:val="000000"/>
          <w:sz w:val="32"/>
          <w:szCs w:val="32"/>
        </w:rPr>
        <w:t>一般公共服务（类）</w:t>
      </w:r>
      <w:r>
        <w:rPr>
          <w:rStyle w:val="15"/>
          <w:rFonts w:hint="eastAsia" w:ascii="仿宋" w:hAnsi="仿宋" w:eastAsia="仿宋"/>
          <w:bCs/>
          <w:color w:val="000000"/>
          <w:sz w:val="32"/>
          <w:szCs w:val="32"/>
          <w:lang w:eastAsia="zh-CN"/>
        </w:rPr>
        <w:t>人力资源事务</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引进人才费用</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Fonts w:hint="eastAsia" w:ascii="仿宋_GB2312" w:eastAsia="仿宋_GB2312" w:cs="仿宋_GB2312"/>
          <w:kern w:val="0"/>
          <w:sz w:val="32"/>
          <w:szCs w:val="32"/>
          <w:lang w:val="en-US" w:eastAsia="zh-CN"/>
        </w:rPr>
        <w:t>支出决算为8万元，完成预算100%，引进人才费用8万元系2019年指标结转使用的。</w:t>
      </w:r>
    </w:p>
    <w:p>
      <w:pPr>
        <w:spacing w:line="600" w:lineRule="exact"/>
        <w:ind w:firstLine="321" w:firstLineChars="100"/>
        <w:rPr>
          <w:rFonts w:hint="eastAsia" w:ascii="仿宋_GB2312" w:eastAsia="仿宋_GB2312" w:cs="仿宋_GB2312"/>
          <w:kern w:val="0"/>
          <w:sz w:val="32"/>
          <w:szCs w:val="32"/>
          <w:lang w:val="en-US" w:eastAsia="zh-CN"/>
        </w:rPr>
      </w:pPr>
      <w:r>
        <w:rPr>
          <w:rStyle w:val="15"/>
          <w:rFonts w:hint="eastAsia" w:ascii="仿宋" w:hAnsi="仿宋" w:eastAsia="仿宋"/>
          <w:bCs/>
          <w:color w:val="000000"/>
          <w:sz w:val="32"/>
          <w:szCs w:val="32"/>
          <w:lang w:val="en-US" w:eastAsia="zh-CN"/>
        </w:rPr>
        <w:t>2</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卫生健康支出（类）</w:t>
      </w:r>
      <w:r>
        <w:rPr>
          <w:rStyle w:val="15"/>
          <w:rFonts w:hint="eastAsia" w:ascii="仿宋" w:hAnsi="仿宋" w:eastAsia="仿宋"/>
          <w:bCs/>
          <w:color w:val="000000"/>
          <w:sz w:val="32"/>
          <w:szCs w:val="32"/>
          <w:lang w:eastAsia="zh-CN"/>
        </w:rPr>
        <w:t>公立医院</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综合医院</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Fonts w:hint="eastAsia" w:ascii="仿宋_GB2312" w:eastAsia="仿宋_GB2312" w:cs="仿宋_GB2312"/>
          <w:kern w:val="0"/>
          <w:sz w:val="32"/>
          <w:szCs w:val="32"/>
          <w:lang w:val="en-US" w:eastAsia="zh-CN"/>
        </w:rPr>
        <w:t>支出决算为2505万元，完成预算100%。</w:t>
      </w:r>
    </w:p>
    <w:p>
      <w:pPr>
        <w:spacing w:line="600" w:lineRule="exact"/>
        <w:ind w:firstLine="321" w:firstLineChars="100"/>
        <w:rPr>
          <w:rFonts w:hint="eastAsia" w:ascii="仿宋_GB2312" w:eastAsia="仿宋_GB2312" w:cs="仿宋_GB2312"/>
          <w:kern w:val="0"/>
          <w:sz w:val="32"/>
          <w:szCs w:val="32"/>
          <w:lang w:val="en-US" w:eastAsia="zh-CN"/>
        </w:rPr>
      </w:pPr>
      <w:r>
        <w:rPr>
          <w:rStyle w:val="15"/>
          <w:rFonts w:hint="eastAsia" w:ascii="仿宋" w:hAnsi="仿宋" w:eastAsia="仿宋"/>
          <w:bCs/>
          <w:color w:val="000000"/>
          <w:sz w:val="32"/>
          <w:szCs w:val="32"/>
          <w:lang w:val="en-US" w:eastAsia="zh-CN"/>
        </w:rPr>
        <w:t>3</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卫生健康支出（类）</w:t>
      </w:r>
      <w:r>
        <w:rPr>
          <w:rStyle w:val="15"/>
          <w:rFonts w:hint="eastAsia" w:ascii="仿宋" w:hAnsi="仿宋" w:eastAsia="仿宋"/>
          <w:bCs/>
          <w:color w:val="000000"/>
          <w:sz w:val="32"/>
          <w:szCs w:val="32"/>
          <w:lang w:eastAsia="zh-CN"/>
        </w:rPr>
        <w:t>公立医院</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突发公共卫生事件应急处理</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Fonts w:hint="eastAsia" w:ascii="仿宋_GB2312" w:eastAsia="仿宋_GB2312" w:cs="仿宋_GB2312"/>
          <w:kern w:val="0"/>
          <w:sz w:val="32"/>
          <w:szCs w:val="32"/>
          <w:lang w:val="en-US" w:eastAsia="zh-CN"/>
        </w:rPr>
        <w:t>支出决算为586.67万元，完成预算100%。</w:t>
      </w:r>
    </w:p>
    <w:p>
      <w:pPr>
        <w:numPr>
          <w:ilvl w:val="0"/>
          <w:numId w:val="0"/>
        </w:numPr>
        <w:spacing w:line="600" w:lineRule="exact"/>
        <w:ind w:firstLine="321" w:firstLineChars="100"/>
        <w:rPr>
          <w:rFonts w:hint="eastAsia" w:ascii="仿宋_GB2312" w:eastAsia="仿宋_GB2312" w:cs="仿宋_GB2312"/>
          <w:kern w:val="0"/>
          <w:sz w:val="32"/>
          <w:szCs w:val="32"/>
          <w:lang w:val="en-US" w:eastAsia="zh-CN"/>
        </w:rPr>
      </w:pPr>
      <w:r>
        <w:rPr>
          <w:rStyle w:val="15"/>
          <w:rFonts w:hint="eastAsia" w:ascii="仿宋" w:hAnsi="仿宋" w:eastAsia="仿宋"/>
          <w:bCs/>
          <w:color w:val="000000"/>
          <w:sz w:val="32"/>
          <w:szCs w:val="32"/>
          <w:lang w:val="en-US" w:eastAsia="zh-CN"/>
        </w:rPr>
        <w:t>4</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卫生健康支出（类）</w:t>
      </w:r>
      <w:r>
        <w:rPr>
          <w:rStyle w:val="15"/>
          <w:rFonts w:hint="eastAsia" w:ascii="仿宋" w:hAnsi="仿宋" w:eastAsia="仿宋"/>
          <w:bCs/>
          <w:color w:val="000000"/>
          <w:sz w:val="32"/>
          <w:szCs w:val="32"/>
          <w:lang w:eastAsia="zh-CN"/>
        </w:rPr>
        <w:t>公共卫生</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基本公共卫生服务</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Fonts w:hint="eastAsia" w:ascii="仿宋_GB2312" w:eastAsia="仿宋_GB2312" w:cs="仿宋_GB2312"/>
          <w:kern w:val="0"/>
          <w:sz w:val="32"/>
          <w:szCs w:val="32"/>
          <w:lang w:val="en-US" w:eastAsia="zh-CN"/>
        </w:rPr>
        <w:t>支出决算为19.04万元，完成预算100%。</w:t>
      </w:r>
    </w:p>
    <w:p>
      <w:pPr>
        <w:numPr>
          <w:ilvl w:val="0"/>
          <w:numId w:val="0"/>
        </w:numPr>
        <w:spacing w:line="600" w:lineRule="exact"/>
        <w:ind w:firstLine="321" w:firstLineChars="100"/>
        <w:rPr>
          <w:rFonts w:hint="eastAsia" w:ascii="仿宋_GB2312" w:eastAsia="仿宋_GB2312" w:cs="仿宋_GB2312"/>
          <w:kern w:val="0"/>
          <w:sz w:val="32"/>
          <w:szCs w:val="32"/>
          <w:lang w:val="en-US" w:eastAsia="zh-CN"/>
        </w:rPr>
      </w:pPr>
      <w:r>
        <w:rPr>
          <w:rStyle w:val="15"/>
          <w:rFonts w:hint="eastAsia" w:ascii="仿宋" w:hAnsi="仿宋" w:eastAsia="仿宋"/>
          <w:bCs/>
          <w:color w:val="000000"/>
          <w:sz w:val="32"/>
          <w:szCs w:val="32"/>
          <w:lang w:val="en-US" w:eastAsia="zh-CN"/>
        </w:rPr>
        <w:t>5</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卫生健康支出（类）</w:t>
      </w:r>
      <w:r>
        <w:rPr>
          <w:rStyle w:val="15"/>
          <w:rFonts w:hint="eastAsia" w:ascii="仿宋" w:hAnsi="仿宋" w:eastAsia="仿宋"/>
          <w:bCs/>
          <w:color w:val="000000"/>
          <w:sz w:val="32"/>
          <w:szCs w:val="32"/>
          <w:lang w:eastAsia="zh-CN"/>
        </w:rPr>
        <w:t>公共卫生</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重大卫生专项</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Fonts w:hint="eastAsia" w:ascii="仿宋_GB2312" w:eastAsia="仿宋_GB2312" w:cs="仿宋_GB2312"/>
          <w:kern w:val="0"/>
          <w:sz w:val="32"/>
          <w:szCs w:val="32"/>
          <w:lang w:val="en-US" w:eastAsia="zh-CN"/>
        </w:rPr>
        <w:t>支出决算为443.67万元，完成预算100%。</w:t>
      </w:r>
    </w:p>
    <w:p>
      <w:pPr>
        <w:numPr>
          <w:ilvl w:val="0"/>
          <w:numId w:val="0"/>
        </w:numPr>
        <w:spacing w:line="600" w:lineRule="exact"/>
        <w:ind w:firstLine="321" w:firstLineChars="100"/>
        <w:rPr>
          <w:rFonts w:hint="eastAsia" w:ascii="仿宋_GB2312" w:eastAsia="仿宋_GB2312" w:cs="仿宋_GB2312"/>
          <w:kern w:val="0"/>
          <w:sz w:val="32"/>
          <w:szCs w:val="32"/>
          <w:lang w:val="en-US" w:eastAsia="zh-CN"/>
        </w:rPr>
      </w:pPr>
      <w:r>
        <w:rPr>
          <w:rStyle w:val="15"/>
          <w:rFonts w:hint="eastAsia" w:ascii="仿宋" w:hAnsi="仿宋" w:eastAsia="仿宋"/>
          <w:bCs/>
          <w:color w:val="000000"/>
          <w:sz w:val="32"/>
          <w:szCs w:val="32"/>
          <w:lang w:val="en-US" w:eastAsia="zh-CN"/>
        </w:rPr>
        <w:t>6</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卫生健康支出（类）</w:t>
      </w:r>
      <w:r>
        <w:rPr>
          <w:rStyle w:val="15"/>
          <w:rFonts w:hint="eastAsia" w:ascii="仿宋" w:hAnsi="仿宋" w:eastAsia="仿宋"/>
          <w:bCs/>
          <w:color w:val="000000"/>
          <w:sz w:val="32"/>
          <w:szCs w:val="32"/>
          <w:lang w:eastAsia="zh-CN"/>
        </w:rPr>
        <w:t>其他卫生健康支出</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其他卫生健康支出</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Fonts w:hint="eastAsia" w:ascii="仿宋_GB2312" w:eastAsia="仿宋_GB2312" w:cs="仿宋_GB2312"/>
          <w:kern w:val="0"/>
          <w:sz w:val="32"/>
          <w:szCs w:val="32"/>
          <w:lang w:val="en-US" w:eastAsia="zh-CN"/>
        </w:rPr>
        <w:t>支出决算为720.74万元，完成预算100%。</w:t>
      </w:r>
    </w:p>
    <w:p>
      <w:pPr>
        <w:spacing w:line="600" w:lineRule="exact"/>
        <w:rPr>
          <w:rFonts w:ascii="仿宋" w:hAnsi="仿宋" w:eastAsia="仿宋"/>
          <w:b/>
          <w:color w:val="000000"/>
          <w:sz w:val="32"/>
          <w:szCs w:val="32"/>
        </w:rPr>
      </w:pPr>
    </w:p>
    <w:p>
      <w:pPr>
        <w:tabs>
          <w:tab w:val="right" w:pos="8306"/>
        </w:tabs>
        <w:spacing w:line="600" w:lineRule="exact"/>
        <w:ind w:firstLine="640"/>
        <w:outlineLvl w:val="1"/>
        <w:rPr>
          <w:rStyle w:val="26"/>
        </w:rPr>
      </w:pPr>
      <w:bookmarkStart w:id="37" w:name="_Toc15377214"/>
      <w:bookmarkStart w:id="38" w:name="_Toc15396608"/>
      <w:r>
        <w:rPr>
          <w:rStyle w:val="26"/>
          <w:rFonts w:hint="eastAsia" w:ascii="黑体" w:hAnsi="黑体" w:eastAsia="黑体"/>
          <w:b w:val="0"/>
        </w:rPr>
        <w:t>六、一般公共预算财政拨款基本支出决算情况说明</w:t>
      </w:r>
      <w:bookmarkEnd w:id="37"/>
      <w:bookmarkEnd w:id="38"/>
      <w:r>
        <w:rPr>
          <w:rStyle w:val="26"/>
          <w:rFonts w:hint="eastAsia" w:ascii="黑体" w:hAnsi="黑体" w:eastAsia="黑体"/>
          <w:b w:val="0"/>
        </w:rPr>
        <w:tab/>
      </w:r>
    </w:p>
    <w:p>
      <w:pPr>
        <w:spacing w:line="600" w:lineRule="exact"/>
        <w:ind w:firstLine="640"/>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2020年一般公共预算财政拨款基本支出500万元，其中：人员经费500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仿宋_GB2312" w:eastAsia="仿宋_GB2312" w:cs="仿宋_GB2312"/>
          <w:kern w:val="0"/>
          <w:sz w:val="32"/>
          <w:szCs w:val="32"/>
          <w:lang w:val="en-US" w:eastAsia="zh-CN"/>
        </w:rPr>
        <w:br w:type="textWrapping"/>
      </w:r>
      <w:r>
        <w:rPr>
          <w:rFonts w:hint="eastAsia" w:ascii="仿宋_GB2312" w:eastAsia="仿宋_GB2312" w:cs="仿宋_GB2312"/>
          <w:kern w:val="0"/>
          <w:sz w:val="32"/>
          <w:szCs w:val="32"/>
          <w:lang w:val="en-US" w:eastAsia="zh-CN"/>
        </w:rPr>
        <w:t>　　日常公用经费0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rPr>
      </w:pPr>
      <w:bookmarkStart w:id="39" w:name="_Toc15377215"/>
      <w:bookmarkStart w:id="40" w:name="_Toc15396609"/>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9"/>
      <w:bookmarkEnd w:id="40"/>
    </w:p>
    <w:p>
      <w:pPr>
        <w:spacing w:line="600" w:lineRule="exact"/>
        <w:ind w:firstLine="640"/>
        <w:outlineLvl w:val="2"/>
        <w:rPr>
          <w:rFonts w:ascii="仿宋" w:hAnsi="仿宋" w:eastAsia="仿宋"/>
          <w:b/>
          <w:color w:val="000000"/>
          <w:sz w:val="32"/>
          <w:szCs w:val="32"/>
        </w:rPr>
      </w:pPr>
      <w:bookmarkStart w:id="41" w:name="_Toc15377216"/>
      <w:r>
        <w:rPr>
          <w:rFonts w:hint="eastAsia" w:ascii="仿宋" w:hAnsi="仿宋" w:eastAsia="仿宋"/>
          <w:b/>
          <w:color w:val="000000"/>
          <w:sz w:val="32"/>
          <w:szCs w:val="32"/>
        </w:rPr>
        <w:t>（一）“三公”经费财政拨款支出决算总体情况说明</w:t>
      </w:r>
      <w:bookmarkEnd w:id="41"/>
    </w:p>
    <w:p>
      <w:pPr>
        <w:spacing w:line="600" w:lineRule="exact"/>
        <w:ind w:firstLine="640" w:firstLineChars="200"/>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2020年“三公”经费财政拨款支出决算为0万元，完成预算100%。2020年与2019年“三公”经费财政拨款支出决算数为0万元，都是因为年初无预算。</w:t>
      </w:r>
    </w:p>
    <w:p>
      <w:pPr>
        <w:spacing w:line="600" w:lineRule="exact"/>
        <w:ind w:firstLine="640"/>
        <w:outlineLvl w:val="2"/>
        <w:rPr>
          <w:rFonts w:ascii="仿宋" w:hAnsi="仿宋" w:eastAsia="仿宋"/>
          <w:b/>
          <w:color w:val="000000"/>
          <w:sz w:val="32"/>
          <w:szCs w:val="32"/>
        </w:rPr>
      </w:pPr>
      <w:bookmarkStart w:id="42" w:name="_Toc15377217"/>
      <w:r>
        <w:rPr>
          <w:rFonts w:hint="eastAsia" w:ascii="仿宋" w:hAnsi="仿宋" w:eastAsia="仿宋"/>
          <w:b/>
          <w:color w:val="000000"/>
          <w:sz w:val="32"/>
          <w:szCs w:val="32"/>
        </w:rPr>
        <w:t>（二）“三公”经费财政拨款支出决算具体情况说明</w:t>
      </w:r>
      <w:bookmarkEnd w:id="42"/>
    </w:p>
    <w:p>
      <w:pPr>
        <w:spacing w:line="600" w:lineRule="exact"/>
        <w:ind w:firstLine="640" w:firstLineChars="200"/>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2020年“三公”经费财政拨款支出决算中，因公出国（境）费支出决算0万元，占100%；公务用车购置及运行维护费支出决算0万元，占100%；公务接待费支出决算0万元，占100%。具体情况如下：</w:t>
      </w:r>
    </w:p>
    <w:p>
      <w:pPr>
        <w:numPr>
          <w:ilvl w:val="0"/>
          <w:numId w:val="3"/>
        </w:numPr>
        <w:spacing w:line="600" w:lineRule="exact"/>
        <w:ind w:firstLine="640"/>
        <w:rPr>
          <w:rFonts w:hint="eastAsia" w:ascii="仿宋_GB2312" w:eastAsia="仿宋_GB2312"/>
          <w:color w:val="000000"/>
          <w:sz w:val="32"/>
          <w:szCs w:val="32"/>
          <w:lang w:eastAsia="zh-CN"/>
        </w:rPr>
      </w:pP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持平。</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其中：公务用车购置支出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元。</w:t>
      </w:r>
    </w:p>
    <w:p>
      <w:pPr>
        <w:spacing w:line="60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公务用车运行维护费支出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万元。主要用于公务用车燃料费、维修费、过路过桥费、保险费等支出。</w:t>
      </w:r>
    </w:p>
    <w:p>
      <w:p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3.公务接待费支出</w:t>
      </w:r>
      <w:r>
        <w:rPr>
          <w:rFonts w:hint="eastAsia" w:ascii="仿宋_GB2312" w:eastAsia="仿宋_GB2312"/>
          <w:b/>
          <w:color w:val="000000"/>
          <w:sz w:val="32"/>
          <w:szCs w:val="32"/>
          <w:lang w:val="en-US" w:eastAsia="zh-CN"/>
        </w:rPr>
        <w:t>0</w:t>
      </w:r>
      <w:r>
        <w:rPr>
          <w:rFonts w:hint="eastAsia" w:ascii="仿宋_GB2312" w:eastAsia="仿宋_GB2312"/>
          <w:b/>
          <w:color w:val="000000"/>
          <w:sz w:val="32"/>
          <w:szCs w:val="32"/>
        </w:rPr>
        <w:t>万元，完成预算</w:t>
      </w:r>
      <w:r>
        <w:rPr>
          <w:rFonts w:hint="eastAsia" w:ascii="仿宋_GB2312" w:eastAsia="仿宋_GB2312"/>
          <w:b/>
          <w:color w:val="000000"/>
          <w:sz w:val="32"/>
          <w:szCs w:val="32"/>
          <w:lang w:val="en-US" w:eastAsia="zh-CN"/>
        </w:rPr>
        <w:t>100</w:t>
      </w:r>
      <w:r>
        <w:rPr>
          <w:rFonts w:hint="eastAsia" w:ascii="仿宋_GB2312" w:eastAsia="仿宋_GB2312"/>
          <w:b/>
          <w:color w:val="000000"/>
          <w:sz w:val="32"/>
          <w:szCs w:val="32"/>
        </w:rPr>
        <w:t>%。</w:t>
      </w:r>
      <w:r>
        <w:rPr>
          <w:rFonts w:hint="eastAsia" w:ascii="仿宋_GB2312" w:eastAsia="仿宋_GB2312"/>
          <w:color w:val="000000"/>
          <w:sz w:val="32"/>
          <w:szCs w:val="32"/>
        </w:rPr>
        <w:t>公务接待费支出决算比201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%。其中：</w:t>
      </w:r>
    </w:p>
    <w:p>
      <w:p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国内公务接待支出</w:t>
      </w:r>
      <w:r>
        <w:rPr>
          <w:rFonts w:hint="eastAsia" w:ascii="仿宋_GB2312" w:eastAsia="仿宋_GB2312"/>
          <w:b/>
          <w:color w:val="000000"/>
          <w:sz w:val="32"/>
          <w:szCs w:val="32"/>
          <w:lang w:val="en-US" w:eastAsia="zh-CN"/>
        </w:rPr>
        <w:t>0</w:t>
      </w:r>
      <w:r>
        <w:rPr>
          <w:rFonts w:hint="eastAsia" w:ascii="仿宋_GB2312" w:eastAsia="仿宋_GB2312"/>
          <w:b/>
          <w:color w:val="000000"/>
          <w:sz w:val="32"/>
          <w:szCs w:val="32"/>
        </w:rPr>
        <w:t>万元</w:t>
      </w: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外事接待支出</w:t>
      </w:r>
      <w:r>
        <w:rPr>
          <w:rFonts w:hint="eastAsia" w:ascii="仿宋_GB2312" w:eastAsia="仿宋_GB2312"/>
          <w:b/>
          <w:color w:val="000000"/>
          <w:sz w:val="32"/>
          <w:szCs w:val="32"/>
          <w:lang w:val="en-US" w:eastAsia="zh-CN"/>
        </w:rPr>
        <w:t>0</w:t>
      </w:r>
      <w:r>
        <w:rPr>
          <w:rFonts w:hint="eastAsia" w:ascii="仿宋_GB2312" w:eastAsia="仿宋_GB2312"/>
          <w:b/>
          <w:color w:val="000000"/>
          <w:sz w:val="32"/>
          <w:szCs w:val="32"/>
        </w:rPr>
        <w:t>万元</w:t>
      </w:r>
      <w:r>
        <w:rPr>
          <w:rFonts w:hint="eastAsia" w:ascii="仿宋_GB2312" w:eastAsia="仿宋_GB2312"/>
          <w:color w:val="000000"/>
          <w:sz w:val="32"/>
          <w:szCs w:val="32"/>
        </w:rPr>
        <w:t>，外事接待</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人，共计支出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bookmarkStart w:id="43" w:name="_Toc15396610"/>
      <w:bookmarkStart w:id="44" w:name="_Toc15377218"/>
    </w:p>
    <w:p>
      <w:pPr>
        <w:spacing w:line="60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3"/>
      <w:bookmarkEnd w:id="44"/>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1624</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，其中</w:t>
      </w:r>
      <w:r>
        <w:rPr>
          <w:rFonts w:hint="eastAsia" w:ascii="仿宋_GB2312" w:hAnsi="Calibri" w:eastAsia="仿宋_GB2312" w:cs="仿宋"/>
          <w:color w:val="000000"/>
          <w:kern w:val="0"/>
          <w:sz w:val="32"/>
          <w:szCs w:val="32"/>
          <w:lang w:val="en-US" w:eastAsia="zh-CN" w:bidi="ar-SA"/>
        </w:rPr>
        <w:t>抗疫相关支出402万元；公共卫生体系建设和重大疫情防控救治体系建设支出1222万元。</w:t>
      </w:r>
    </w:p>
    <w:p>
      <w:pPr>
        <w:numPr>
          <w:ilvl w:val="0"/>
          <w:numId w:val="4"/>
        </w:numPr>
        <w:spacing w:line="600" w:lineRule="exact"/>
        <w:ind w:firstLine="640"/>
        <w:outlineLvl w:val="1"/>
        <w:rPr>
          <w:rStyle w:val="26"/>
          <w:rFonts w:ascii="黑体" w:hAnsi="黑体" w:eastAsia="黑体"/>
          <w:b w:val="0"/>
        </w:rPr>
      </w:pPr>
      <w:bookmarkStart w:id="45" w:name="_Toc15377219"/>
      <w:bookmarkStart w:id="46" w:name="_Toc15396611"/>
      <w:r>
        <w:rPr>
          <w:rStyle w:val="26"/>
          <w:rFonts w:hint="eastAsia" w:ascii="黑体" w:hAnsi="黑体" w:eastAsia="黑体"/>
          <w:b w:val="0"/>
        </w:rPr>
        <w:t>国有资本经营预算支出决算情况说明</w:t>
      </w:r>
      <w:bookmarkEnd w:id="45"/>
      <w:bookmarkEnd w:id="46"/>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4"/>
        </w:numPr>
        <w:spacing w:line="600" w:lineRule="exact"/>
        <w:ind w:firstLine="640"/>
        <w:outlineLvl w:val="1"/>
        <w:rPr>
          <w:rStyle w:val="26"/>
          <w:rFonts w:hint="eastAsia" w:ascii="黑体" w:hAnsi="黑体" w:eastAsia="黑体"/>
          <w:b w:val="0"/>
        </w:rPr>
      </w:pPr>
      <w:bookmarkStart w:id="47" w:name="_Toc15377221"/>
      <w:bookmarkStart w:id="48" w:name="_Toc15396612"/>
      <w:r>
        <w:rPr>
          <w:rStyle w:val="26"/>
          <w:rFonts w:hint="eastAsia" w:ascii="黑体" w:hAnsi="黑体" w:eastAsia="黑体"/>
          <w:b w:val="0"/>
        </w:rPr>
        <w:t>其他重要事项的情况说明</w:t>
      </w:r>
      <w:bookmarkEnd w:id="47"/>
      <w:bookmarkEnd w:id="48"/>
    </w:p>
    <w:p>
      <w:pPr>
        <w:spacing w:line="600" w:lineRule="exact"/>
        <w:ind w:firstLine="642" w:firstLineChars="200"/>
        <w:outlineLvl w:val="2"/>
        <w:rPr>
          <w:rFonts w:ascii="仿宋" w:hAnsi="仿宋" w:eastAsia="仿宋"/>
          <w:color w:val="000000"/>
          <w:sz w:val="32"/>
          <w:szCs w:val="32"/>
        </w:rPr>
      </w:pPr>
      <w:bookmarkStart w:id="49" w:name="_Toc15377222"/>
      <w:r>
        <w:rPr>
          <w:rFonts w:hint="eastAsia" w:ascii="仿宋" w:hAnsi="仿宋" w:eastAsia="仿宋"/>
          <w:b/>
          <w:color w:val="000000"/>
          <w:sz w:val="32"/>
          <w:szCs w:val="32"/>
        </w:rPr>
        <w:t>（一）机关运行经费支出情况</w:t>
      </w:r>
      <w:bookmarkEnd w:id="49"/>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巴中市中心医院</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万元，与</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年决算数持平</w:t>
      </w:r>
      <w:r>
        <w:rPr>
          <w:rFonts w:hint="eastAsia" w:ascii="仿宋_GB2312" w:eastAsia="仿宋_GB2312"/>
          <w:color w:val="000000"/>
          <w:sz w:val="32"/>
          <w:szCs w:val="32"/>
          <w:lang w:eastAsia="zh-CN"/>
        </w:rPr>
        <w:t>。</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50" w:name="_Toc15377223"/>
      <w:r>
        <w:rPr>
          <w:rFonts w:hint="eastAsia" w:ascii="仿宋" w:hAnsi="仿宋" w:eastAsia="仿宋"/>
          <w:b/>
          <w:color w:val="000000"/>
          <w:sz w:val="32"/>
          <w:szCs w:val="32"/>
        </w:rPr>
        <w:t>（二）政府采购支出情况</w:t>
      </w:r>
      <w:bookmarkEnd w:id="50"/>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巴中市中心医院</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51" w:name="_Toc15377224"/>
      <w:r>
        <w:rPr>
          <w:rFonts w:hint="eastAsia" w:ascii="仿宋" w:hAnsi="仿宋" w:eastAsia="仿宋"/>
          <w:b/>
          <w:color w:val="000000"/>
          <w:sz w:val="32"/>
          <w:szCs w:val="32"/>
        </w:rPr>
        <w:t>（三）国有资产占有使用情况</w:t>
      </w:r>
      <w:bookmarkEnd w:id="51"/>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巴中市中心医院</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辆</w:t>
      </w:r>
      <w:r>
        <w:rPr>
          <w:rFonts w:hint="eastAsia" w:ascii="仿宋_GB2312" w:eastAsia="仿宋_GB2312"/>
          <w:color w:val="000000"/>
          <w:sz w:val="32"/>
          <w:szCs w:val="32"/>
          <w:lang w:eastAsia="zh-CN"/>
        </w:rPr>
        <w:t>含救护车等；</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24</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57</w:t>
      </w:r>
      <w:r>
        <w:rPr>
          <w:rFonts w:hint="eastAsia" w:ascii="仿宋_GB2312" w:eastAsia="仿宋_GB2312"/>
          <w:color w:val="000000"/>
          <w:sz w:val="32"/>
          <w:szCs w:val="32"/>
        </w:rPr>
        <w:t>台（套）。</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autoSpaceDE w:val="0"/>
        <w:autoSpaceDN w:val="0"/>
        <w:adjustRightInd w:val="0"/>
        <w:spacing w:line="600" w:lineRule="exact"/>
        <w:ind w:firstLine="640" w:firstLineChars="200"/>
        <w:jc w:val="left"/>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根据预算绩效管理要求，本部门（单位）在年初预算编制阶段，组织对“以色列政府贷款购置医疗设备项目”等</w:t>
      </w:r>
      <w:r>
        <w:rPr>
          <w:rFonts w:hint="eastAsia" w:ascii="仿宋_GB2312" w:eastAsia="仿宋_GB2312"/>
          <w:color w:val="000000"/>
          <w:sz w:val="32"/>
          <w:szCs w:val="32"/>
          <w:lang w:val="en-US" w:eastAsia="zh-CN"/>
        </w:rPr>
        <w:t>4个项目</w:t>
      </w:r>
      <w:r>
        <w:rPr>
          <w:rFonts w:hint="eastAsia" w:ascii="仿宋_GB2312" w:eastAsia="仿宋_GB2312"/>
          <w:color w:val="000000"/>
          <w:sz w:val="32"/>
          <w:szCs w:val="32"/>
          <w:lang w:eastAsia="zh-CN"/>
        </w:rPr>
        <w:t>开展了预算事前绩效评估，编制了绩效目标，预算执行过程中，选取</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lang w:eastAsia="zh-CN"/>
        </w:rPr>
        <w:t>个项目开展绩效监控，年终执行完毕后，对</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lang w:eastAsia="zh-CN"/>
        </w:rPr>
        <w:t>个项目开展了绩效目标完成情况梳理填报。</w:t>
      </w:r>
    </w:p>
    <w:p>
      <w:pPr>
        <w:autoSpaceDE w:val="0"/>
        <w:autoSpaceDN w:val="0"/>
        <w:adjustRightInd w:val="0"/>
        <w:spacing w:line="60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lang w:eastAsia="zh-CN"/>
        </w:rPr>
        <w:t>本部门按要求对20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lang w:eastAsia="zh-CN"/>
        </w:rPr>
        <w:t>年部门整体支出开展绩效自评，从评价情况来看20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lang w:eastAsia="zh-CN"/>
        </w:rPr>
        <w:t>年全面完成了医院的所有工作职能，完成了抗击疫情、传染病防治、公立医院综合改革、住院医师规范化培训等工作，提升了医疗服务水平。以色列政府贷款购置医疗设备项目，从评价情况来看投入使用的设备都产生了良好的经济效益和社会效益，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lang w:eastAsia="zh-CN"/>
        </w:rPr>
        <w:t>年医院的高新设备投入方便了巴中及周边群众就医，减少外出检查人次。</w:t>
      </w:r>
    </w:p>
    <w:p>
      <w:pPr>
        <w:autoSpaceDE w:val="0"/>
        <w:autoSpaceDN w:val="0"/>
        <w:adjustRightInd w:val="0"/>
        <w:spacing w:line="600" w:lineRule="exact"/>
        <w:ind w:firstLine="640" w:firstLineChars="200"/>
        <w:jc w:val="left"/>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1.项目绩效目标完成情况。</w:t>
      </w:r>
      <w:r>
        <w:rPr>
          <w:rFonts w:hint="eastAsia" w:ascii="楷体_GB2312" w:hAnsi="楷体_GB2312" w:eastAsia="楷体_GB2312" w:cs="楷体_GB2312"/>
          <w:sz w:val="32"/>
          <w:szCs w:val="32"/>
        </w:rPr>
        <w:br w:type="textWrapping"/>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 xml:space="preserve">  本部门在20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lang w:eastAsia="zh-CN"/>
        </w:rPr>
        <w:t>年度部门决算中反映“城市公立医院改革””、“公立医院运转经费”、“以色列政府贷款还本付息”、“抗疫特别国债资金项目”等</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lang w:eastAsia="zh-CN"/>
        </w:rPr>
        <w:t>个项目绩效目标实际完成情况。</w:t>
      </w:r>
    </w:p>
    <w:p>
      <w:pPr>
        <w:autoSpaceDE w:val="0"/>
        <w:autoSpaceDN w:val="0"/>
        <w:adjustRightInd w:val="0"/>
        <w:spacing w:line="600" w:lineRule="exact"/>
        <w:ind w:firstLine="640" w:firstLineChars="200"/>
        <w:jc w:val="left"/>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（1）城市公立医院改革项目绩效目标完成情况综述。项目全年预算数</w:t>
      </w:r>
      <w:r>
        <w:rPr>
          <w:rFonts w:hint="eastAsia" w:ascii="仿宋_GB2312" w:eastAsia="仿宋_GB2312"/>
          <w:color w:val="000000"/>
          <w:sz w:val="32"/>
          <w:szCs w:val="32"/>
          <w:lang w:val="en-US" w:eastAsia="zh-CN"/>
        </w:rPr>
        <w:t>945</w:t>
      </w:r>
      <w:r>
        <w:rPr>
          <w:rFonts w:hint="eastAsia" w:ascii="仿宋_GB2312" w:eastAsia="仿宋_GB2312"/>
          <w:color w:val="000000"/>
          <w:sz w:val="32"/>
          <w:szCs w:val="32"/>
          <w:lang w:eastAsia="zh-CN"/>
        </w:rPr>
        <w:t>万元（财政拨款</w:t>
      </w:r>
      <w:r>
        <w:rPr>
          <w:rFonts w:hint="eastAsia" w:ascii="仿宋_GB2312" w:eastAsia="仿宋_GB2312"/>
          <w:color w:val="000000"/>
          <w:sz w:val="32"/>
          <w:szCs w:val="32"/>
          <w:lang w:val="en-US" w:eastAsia="zh-CN"/>
        </w:rPr>
        <w:t>500万元，事业收入资金445万元</w:t>
      </w:r>
      <w:r>
        <w:rPr>
          <w:rFonts w:hint="eastAsia" w:ascii="仿宋_GB2312" w:eastAsia="仿宋_GB2312"/>
          <w:color w:val="000000"/>
          <w:sz w:val="32"/>
          <w:szCs w:val="32"/>
          <w:lang w:eastAsia="zh-CN"/>
        </w:rPr>
        <w:t>），执行数为</w:t>
      </w:r>
      <w:r>
        <w:rPr>
          <w:rFonts w:hint="eastAsia" w:ascii="仿宋_GB2312" w:eastAsia="仿宋_GB2312"/>
          <w:color w:val="000000"/>
          <w:sz w:val="32"/>
          <w:szCs w:val="32"/>
          <w:lang w:val="en-US" w:eastAsia="zh-CN"/>
        </w:rPr>
        <w:t>945</w:t>
      </w:r>
      <w:r>
        <w:rPr>
          <w:rFonts w:hint="eastAsia" w:ascii="仿宋_GB2312" w:eastAsia="仿宋_GB2312"/>
          <w:color w:val="000000"/>
          <w:sz w:val="32"/>
          <w:szCs w:val="32"/>
          <w:lang w:eastAsia="zh-CN"/>
        </w:rPr>
        <w:t>万元，完成预算的</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lang w:eastAsia="zh-CN"/>
        </w:rPr>
        <w:t>%。完成了20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lang w:eastAsia="zh-CN"/>
        </w:rPr>
        <w:t>年城市公立医院改革取消药品加成任务，提升了医疗服务水平，降低患者负担。发现的主要问题：未加大对取消药品加成宣传工作力度。下一步改进措施：加大取消药品加成宣传工作。</w:t>
      </w:r>
    </w:p>
    <w:p>
      <w:pPr>
        <w:autoSpaceDE w:val="0"/>
        <w:autoSpaceDN w:val="0"/>
        <w:adjustRightInd w:val="0"/>
        <w:spacing w:line="600" w:lineRule="exact"/>
        <w:ind w:firstLine="640" w:firstLineChars="200"/>
        <w:jc w:val="left"/>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（2）公立医院运转经费绩效目标完成情况综述。项目全年预算数</w:t>
      </w:r>
      <w:r>
        <w:rPr>
          <w:rFonts w:hint="eastAsia" w:ascii="仿宋_GB2312" w:eastAsia="仿宋_GB2312"/>
          <w:color w:val="000000"/>
          <w:sz w:val="32"/>
          <w:szCs w:val="32"/>
          <w:lang w:val="en-US" w:eastAsia="zh-CN"/>
        </w:rPr>
        <w:t>1832</w:t>
      </w:r>
      <w:r>
        <w:rPr>
          <w:rFonts w:hint="eastAsia" w:ascii="仿宋_GB2312" w:eastAsia="仿宋_GB2312"/>
          <w:color w:val="000000"/>
          <w:sz w:val="32"/>
          <w:szCs w:val="32"/>
          <w:lang w:eastAsia="zh-CN"/>
        </w:rPr>
        <w:t>万元（财政拨款</w:t>
      </w:r>
      <w:r>
        <w:rPr>
          <w:rFonts w:hint="eastAsia" w:ascii="仿宋_GB2312" w:eastAsia="仿宋_GB2312"/>
          <w:color w:val="000000"/>
          <w:sz w:val="32"/>
          <w:szCs w:val="32"/>
          <w:lang w:val="en-US" w:eastAsia="zh-CN"/>
        </w:rPr>
        <w:t>500万元，事业收入资金1332万元</w:t>
      </w:r>
      <w:r>
        <w:rPr>
          <w:rFonts w:hint="eastAsia" w:ascii="仿宋_GB2312" w:eastAsia="仿宋_GB2312"/>
          <w:color w:val="000000"/>
          <w:sz w:val="32"/>
          <w:szCs w:val="32"/>
          <w:lang w:eastAsia="zh-CN"/>
        </w:rPr>
        <w:t>），执行数为</w:t>
      </w:r>
      <w:r>
        <w:rPr>
          <w:rFonts w:hint="eastAsia" w:ascii="仿宋_GB2312" w:eastAsia="仿宋_GB2312"/>
          <w:color w:val="000000"/>
          <w:sz w:val="32"/>
          <w:szCs w:val="32"/>
          <w:lang w:val="en-US" w:eastAsia="zh-CN"/>
        </w:rPr>
        <w:t>1832</w:t>
      </w:r>
      <w:r>
        <w:rPr>
          <w:rFonts w:hint="eastAsia" w:ascii="仿宋_GB2312" w:eastAsia="仿宋_GB2312"/>
          <w:color w:val="000000"/>
          <w:sz w:val="32"/>
          <w:szCs w:val="32"/>
          <w:lang w:eastAsia="zh-CN"/>
        </w:rPr>
        <w:t>万元，完成预算的</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lang w:eastAsia="zh-CN"/>
        </w:rPr>
        <w:t>%。通过项目实施，承担了全市20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lang w:eastAsia="zh-CN"/>
        </w:rPr>
        <w:t>年紧急救援任务，降低突发事件的损失；完成了20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lang w:eastAsia="zh-CN"/>
        </w:rPr>
        <w:t>年传染病医院预防及治疗工作，有效控制传染病传播范围，减少发病人数；完成了20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lang w:eastAsia="zh-CN"/>
        </w:rPr>
        <w:t>年住院医师规范化培训任务。发现的主要问题：部分公共突发事件可以提前预防的，而该部分公共突发事件都是发生后才采取措施。下一步改进措施：进行公共突发事件如食品安全隐患教育等宣传工作。</w:t>
      </w:r>
    </w:p>
    <w:p>
      <w:pPr>
        <w:autoSpaceDE w:val="0"/>
        <w:autoSpaceDN w:val="0"/>
        <w:adjustRightInd w:val="0"/>
        <w:spacing w:line="600" w:lineRule="exact"/>
        <w:ind w:firstLine="640" w:firstLineChars="200"/>
        <w:jc w:val="left"/>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（3）以色列政府贷款购置医疗设备项目绩效目标完成情况综述。项目全年预算数</w:t>
      </w:r>
      <w:r>
        <w:rPr>
          <w:rFonts w:hint="eastAsia" w:ascii="仿宋_GB2312" w:eastAsia="仿宋_GB2312"/>
          <w:color w:val="000000"/>
          <w:sz w:val="32"/>
          <w:szCs w:val="32"/>
          <w:lang w:val="en-US" w:eastAsia="zh-CN"/>
        </w:rPr>
        <w:t>2554</w:t>
      </w:r>
      <w:r>
        <w:rPr>
          <w:rFonts w:hint="eastAsia" w:ascii="仿宋_GB2312" w:eastAsia="仿宋_GB2312"/>
          <w:color w:val="000000"/>
          <w:sz w:val="32"/>
          <w:szCs w:val="32"/>
          <w:lang w:eastAsia="zh-CN"/>
        </w:rPr>
        <w:t>万元（财政拨款</w:t>
      </w:r>
      <w:r>
        <w:rPr>
          <w:rFonts w:hint="eastAsia" w:ascii="仿宋_GB2312" w:eastAsia="仿宋_GB2312"/>
          <w:color w:val="000000"/>
          <w:sz w:val="32"/>
          <w:szCs w:val="32"/>
          <w:lang w:val="en-US" w:eastAsia="zh-CN"/>
        </w:rPr>
        <w:t>1000万元，事业收入资金1554万元</w:t>
      </w:r>
      <w:r>
        <w:rPr>
          <w:rFonts w:hint="eastAsia" w:ascii="仿宋_GB2312" w:eastAsia="仿宋_GB2312"/>
          <w:color w:val="000000"/>
          <w:sz w:val="32"/>
          <w:szCs w:val="32"/>
          <w:lang w:eastAsia="zh-CN"/>
        </w:rPr>
        <w:t>），执行数为</w:t>
      </w:r>
      <w:r>
        <w:rPr>
          <w:rFonts w:hint="eastAsia" w:ascii="仿宋_GB2312" w:eastAsia="仿宋_GB2312"/>
          <w:color w:val="000000"/>
          <w:sz w:val="32"/>
          <w:szCs w:val="32"/>
          <w:lang w:val="en-US" w:eastAsia="zh-CN"/>
        </w:rPr>
        <w:t>2306.78</w:t>
      </w:r>
      <w:r>
        <w:rPr>
          <w:rFonts w:hint="eastAsia" w:ascii="仿宋_GB2312" w:eastAsia="仿宋_GB2312"/>
          <w:color w:val="000000"/>
          <w:sz w:val="32"/>
          <w:szCs w:val="32"/>
          <w:lang w:eastAsia="zh-CN"/>
        </w:rPr>
        <w:t>万元，完成预算的</w:t>
      </w:r>
      <w:r>
        <w:rPr>
          <w:rFonts w:hint="eastAsia" w:ascii="仿宋_GB2312" w:eastAsia="仿宋_GB2312"/>
          <w:color w:val="000000"/>
          <w:sz w:val="32"/>
          <w:szCs w:val="32"/>
          <w:lang w:val="en-US" w:eastAsia="zh-CN"/>
        </w:rPr>
        <w:t>90.32</w:t>
      </w:r>
      <w:r>
        <w:rPr>
          <w:rFonts w:hint="eastAsia" w:ascii="仿宋_GB2312" w:eastAsia="仿宋_GB2312"/>
          <w:color w:val="000000"/>
          <w:sz w:val="32"/>
          <w:szCs w:val="32"/>
          <w:lang w:eastAsia="zh-CN"/>
        </w:rPr>
        <w:t>%。通过项目实施，保障了巴中及周边患者就近就医，提高了我院的临床诊断和治疗水平。发现的主要问题：设备未全面提升使用效益。下一步改进措施：让设备全面投入使用，发挥效益。</w:t>
      </w:r>
    </w:p>
    <w:p>
      <w:pPr>
        <w:autoSpaceDE w:val="0"/>
        <w:autoSpaceDN w:val="0"/>
        <w:adjustRightInd w:val="0"/>
        <w:spacing w:line="600" w:lineRule="exact"/>
        <w:ind w:firstLine="640" w:firstLineChars="200"/>
        <w:jc w:val="left"/>
        <w:rPr>
          <w:rFonts w:ascii="仿宋_GB2312" w:hAnsi="仿宋_GB2312" w:eastAsia="仿宋_GB2312" w:cs="仿宋_GB2312"/>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lang w:eastAsia="zh-CN"/>
        </w:rPr>
        <w:t>）抗疫特别国债资金项目完成情况综述。项目全年预算数</w:t>
      </w:r>
      <w:r>
        <w:rPr>
          <w:rFonts w:hint="eastAsia" w:ascii="仿宋_GB2312" w:eastAsia="仿宋_GB2312"/>
          <w:color w:val="000000"/>
          <w:sz w:val="32"/>
          <w:szCs w:val="32"/>
          <w:lang w:val="en-US" w:eastAsia="zh-CN"/>
        </w:rPr>
        <w:t>1624</w:t>
      </w:r>
      <w:r>
        <w:rPr>
          <w:rFonts w:hint="eastAsia" w:ascii="仿宋_GB2312" w:eastAsia="仿宋_GB2312"/>
          <w:color w:val="000000"/>
          <w:sz w:val="32"/>
          <w:szCs w:val="32"/>
          <w:lang w:eastAsia="zh-CN"/>
        </w:rPr>
        <w:t>万元（财政拨款</w:t>
      </w:r>
      <w:r>
        <w:rPr>
          <w:rFonts w:hint="eastAsia" w:ascii="仿宋_GB2312" w:eastAsia="仿宋_GB2312"/>
          <w:color w:val="000000"/>
          <w:sz w:val="32"/>
          <w:szCs w:val="32"/>
          <w:lang w:val="en-US" w:eastAsia="zh-CN"/>
        </w:rPr>
        <w:t>1624万元</w:t>
      </w:r>
      <w:r>
        <w:rPr>
          <w:rFonts w:hint="eastAsia" w:ascii="仿宋_GB2312" w:eastAsia="仿宋_GB2312"/>
          <w:color w:val="000000"/>
          <w:sz w:val="32"/>
          <w:szCs w:val="32"/>
          <w:lang w:eastAsia="zh-CN"/>
        </w:rPr>
        <w:t>），执行数为</w:t>
      </w:r>
      <w:r>
        <w:rPr>
          <w:rFonts w:hint="eastAsia" w:ascii="仿宋_GB2312" w:eastAsia="仿宋_GB2312"/>
          <w:color w:val="000000"/>
          <w:sz w:val="32"/>
          <w:szCs w:val="32"/>
          <w:lang w:val="en-US" w:eastAsia="zh-CN"/>
        </w:rPr>
        <w:t>1624</w:t>
      </w:r>
      <w:r>
        <w:rPr>
          <w:rFonts w:hint="eastAsia" w:ascii="仿宋_GB2312" w:eastAsia="仿宋_GB2312"/>
          <w:color w:val="000000"/>
          <w:sz w:val="32"/>
          <w:szCs w:val="32"/>
          <w:lang w:eastAsia="zh-CN"/>
        </w:rPr>
        <w:t>万元，完成预算的</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lang w:eastAsia="zh-CN"/>
        </w:rPr>
        <w:t>%。完成了提升重大疫情防疫救治能力，打赢疫情防控阻击战。发现的主要问题：部分病人防疫意识有待加强。下一步改进措施：继续做好疫情防控宣传工作。</w:t>
      </w: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40"/>
        <w:gridCol w:w="122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jc w:val="center"/>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城市公立医院改革</w:t>
            </w:r>
          </w:p>
        </w:tc>
      </w:tr>
      <w:tr>
        <w:tblPrEx>
          <w:tblCellMar>
            <w:top w:w="0" w:type="dxa"/>
            <w:left w:w="0" w:type="dxa"/>
            <w:bottom w:w="0" w:type="dxa"/>
            <w:right w:w="0" w:type="dxa"/>
          </w:tblCellMar>
        </w:tblPrEx>
        <w:trPr>
          <w:trHeight w:val="276" w:hRule="atLeast"/>
          <w:jc w:val="center"/>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巴中市中心医院</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w:t>
            </w:r>
            <w:r>
              <w:rPr>
                <w:rFonts w:hint="eastAsia" w:ascii="宋体" w:hAnsi="宋体" w:cs="宋体"/>
                <w:color w:val="000000"/>
                <w:sz w:val="24"/>
                <w:lang w:val="en-US" w:eastAsia="zh-CN"/>
              </w:rPr>
              <w:t>45</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w:t>
            </w:r>
            <w:r>
              <w:rPr>
                <w:rFonts w:hint="eastAsia" w:ascii="宋体" w:hAnsi="宋体" w:cs="宋体"/>
                <w:color w:val="000000"/>
                <w:sz w:val="24"/>
                <w:lang w:val="en-US" w:eastAsia="zh-CN"/>
              </w:rPr>
              <w:t>45</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500万元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500万元</w:t>
            </w:r>
          </w:p>
        </w:tc>
      </w:tr>
      <w:tr>
        <w:tblPrEx>
          <w:tblCellMar>
            <w:top w:w="0" w:type="dxa"/>
            <w:left w:w="0" w:type="dxa"/>
            <w:bottom w:w="0" w:type="dxa"/>
            <w:right w:w="0" w:type="dxa"/>
          </w:tblCellMar>
        </w:tblPrEx>
        <w:trPr>
          <w:trHeight w:val="90"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w:t>
            </w:r>
            <w:r>
              <w:rPr>
                <w:rFonts w:hint="eastAsia" w:ascii="宋体" w:hAnsi="宋体" w:cs="宋体"/>
                <w:color w:val="000000"/>
                <w:sz w:val="24"/>
                <w:lang w:val="en-US" w:eastAsia="zh-CN"/>
              </w:rPr>
              <w:t>45</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4</w:t>
            </w:r>
            <w:r>
              <w:rPr>
                <w:rFonts w:hint="eastAsia" w:ascii="宋体" w:hAnsi="宋体" w:cs="宋体"/>
                <w:color w:val="000000"/>
                <w:sz w:val="24"/>
                <w:lang w:val="en-US" w:eastAsia="zh-CN"/>
              </w:rPr>
              <w:t>45</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w:t>
            </w:r>
            <w:r>
              <w:rPr>
                <w:rFonts w:hint="eastAsia" w:ascii="宋体" w:hAnsi="宋体" w:cs="宋体"/>
                <w:color w:val="000000"/>
                <w:sz w:val="24"/>
                <w:lang w:val="en-US" w:eastAsia="zh-CN"/>
              </w:rPr>
              <w:t>20</w:t>
            </w:r>
            <w:r>
              <w:rPr>
                <w:rFonts w:hint="eastAsia" w:ascii="宋体" w:hAnsi="宋体" w:cs="宋体"/>
                <w:color w:val="000000"/>
                <w:sz w:val="24"/>
              </w:rPr>
              <w:t>年城市公立医院改革取消药品加成任务，提升医疗服务水平，降低患者负担</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w:t>
            </w:r>
            <w:r>
              <w:rPr>
                <w:rFonts w:hint="eastAsia" w:ascii="宋体" w:hAnsi="宋体" w:cs="宋体"/>
                <w:color w:val="000000"/>
                <w:sz w:val="24"/>
                <w:lang w:eastAsia="zh-CN"/>
              </w:rPr>
              <w:t>了</w:t>
            </w:r>
            <w:r>
              <w:rPr>
                <w:rFonts w:hint="eastAsia" w:ascii="宋体" w:hAnsi="宋体" w:cs="宋体"/>
                <w:color w:val="000000"/>
                <w:sz w:val="24"/>
              </w:rPr>
              <w:t>20</w:t>
            </w:r>
            <w:r>
              <w:rPr>
                <w:rFonts w:hint="eastAsia" w:ascii="宋体" w:hAnsi="宋体" w:cs="宋体"/>
                <w:color w:val="000000"/>
                <w:sz w:val="24"/>
                <w:lang w:val="en-US" w:eastAsia="zh-CN"/>
              </w:rPr>
              <w:t>20</w:t>
            </w:r>
            <w:r>
              <w:rPr>
                <w:rFonts w:hint="eastAsia" w:ascii="宋体" w:hAnsi="宋体" w:cs="宋体"/>
                <w:color w:val="000000"/>
                <w:sz w:val="24"/>
              </w:rPr>
              <w:t>年城市公立医院改革取消药品加成任务，提升</w:t>
            </w:r>
            <w:r>
              <w:rPr>
                <w:rFonts w:hint="eastAsia" w:ascii="宋体" w:hAnsi="宋体" w:cs="宋体"/>
                <w:color w:val="000000"/>
                <w:sz w:val="24"/>
                <w:lang w:eastAsia="zh-CN"/>
              </w:rPr>
              <w:t>了</w:t>
            </w:r>
            <w:r>
              <w:rPr>
                <w:rFonts w:hint="eastAsia" w:ascii="宋体" w:hAnsi="宋体" w:cs="宋体"/>
                <w:color w:val="000000"/>
                <w:sz w:val="24"/>
              </w:rPr>
              <w:t>医疗服务水平，降低</w:t>
            </w:r>
            <w:r>
              <w:rPr>
                <w:rFonts w:hint="eastAsia" w:ascii="宋体" w:hAnsi="宋体" w:cs="宋体"/>
                <w:color w:val="000000"/>
                <w:sz w:val="24"/>
                <w:lang w:eastAsia="zh-CN"/>
              </w:rPr>
              <w:t>了</w:t>
            </w:r>
            <w:r>
              <w:rPr>
                <w:rFonts w:hint="eastAsia" w:ascii="宋体" w:hAnsi="宋体" w:cs="宋体"/>
                <w:color w:val="000000"/>
                <w:sz w:val="24"/>
              </w:rPr>
              <w:t>患者负担</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578"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产出指标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lang w:val="en-US" w:eastAsia="zh-CN"/>
              </w:rPr>
              <w:t xml:space="preserve">数量指标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lang w:val="en-US" w:eastAsia="zh-CN"/>
              </w:rPr>
              <w:t>取消药品加成覆盖率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64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产出指标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lang w:val="en-US" w:eastAsia="zh-CN"/>
              </w:rPr>
              <w:t xml:space="preserve">时效指标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lang w:val="en-US" w:eastAsia="zh-CN"/>
              </w:rPr>
              <w:t>按期完成率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654"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lang w:val="en-US" w:eastAsia="zh-CN"/>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lang w:val="en-US" w:eastAsia="zh-CN"/>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lang w:val="en-US" w:eastAsia="zh-CN"/>
              </w:rPr>
              <w:t>医疗服务水平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lang w:val="en-US" w:eastAsia="zh-CN"/>
              </w:rPr>
              <w:t>有所提升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lang w:val="en-US" w:eastAsia="zh-CN"/>
              </w:rPr>
              <w:t>有所提升</w:t>
            </w:r>
          </w:p>
        </w:tc>
      </w:tr>
      <w:tr>
        <w:tblPrEx>
          <w:tblCellMar>
            <w:top w:w="0" w:type="dxa"/>
            <w:left w:w="0" w:type="dxa"/>
            <w:bottom w:w="0" w:type="dxa"/>
            <w:right w:w="0" w:type="dxa"/>
          </w:tblCellMar>
        </w:tblPrEx>
        <w:trPr>
          <w:trHeight w:val="79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lang w:val="en-US" w:eastAsia="zh-CN"/>
              </w:rPr>
              <w:t xml:space="preserve">满意度指标 </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lang w:val="en-US" w:eastAsia="zh-CN"/>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lang w:val="en-US" w:eastAsia="zh-CN"/>
              </w:rPr>
              <w:t>病人满意度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334" w:hRule="atLeast"/>
          <w:jc w:val="center"/>
        </w:trPr>
        <w:tc>
          <w:tcPr>
            <w:tcW w:w="9960" w:type="dxa"/>
            <w:gridSpan w:val="7"/>
            <w:tcBorders>
              <w:top w:val="nil"/>
              <w:left w:val="nil"/>
              <w:bottom w:val="nil"/>
              <w:right w:val="nil"/>
            </w:tcBorders>
            <w:tcMar>
              <w:top w:w="15" w:type="dxa"/>
              <w:left w:w="15" w:type="dxa"/>
              <w:right w:w="15" w:type="dxa"/>
            </w:tcMar>
            <w:vAlign w:val="center"/>
          </w:tcPr>
          <w:p>
            <w:pPr>
              <w:widowControl/>
              <w:jc w:val="both"/>
              <w:textAlignment w:val="center"/>
              <w:rPr>
                <w:rFonts w:hint="eastAsia" w:ascii="宋体" w:hAnsi="宋体" w:cs="宋体"/>
                <w:b/>
                <w:bCs/>
                <w:color w:val="000000"/>
                <w:kern w:val="0"/>
                <w:sz w:val="36"/>
                <w:szCs w:val="36"/>
              </w:rPr>
            </w:pPr>
          </w:p>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jc w:val="center"/>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公立医院运转经费</w:t>
            </w:r>
          </w:p>
        </w:tc>
      </w:tr>
      <w:tr>
        <w:tblPrEx>
          <w:tblCellMar>
            <w:top w:w="0" w:type="dxa"/>
            <w:left w:w="0" w:type="dxa"/>
            <w:bottom w:w="0" w:type="dxa"/>
            <w:right w:w="0" w:type="dxa"/>
          </w:tblCellMar>
        </w:tblPrEx>
        <w:trPr>
          <w:trHeight w:val="276" w:hRule="atLeast"/>
          <w:jc w:val="center"/>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巴中市中心医院</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en-US" w:eastAsia="zh-CN"/>
              </w:rPr>
              <w:t>832</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en-US" w:eastAsia="zh-CN"/>
              </w:rPr>
              <w:t>832</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500万元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500万元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1332</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1332</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承担全市20</w:t>
            </w:r>
            <w:r>
              <w:rPr>
                <w:rFonts w:hint="eastAsia" w:ascii="宋体" w:hAnsi="宋体" w:cs="宋体"/>
                <w:color w:val="000000"/>
                <w:sz w:val="24"/>
                <w:lang w:val="en-US" w:eastAsia="zh-CN"/>
              </w:rPr>
              <w:t>20</w:t>
            </w:r>
            <w:r>
              <w:rPr>
                <w:rFonts w:hint="eastAsia" w:ascii="宋体" w:hAnsi="宋体" w:cs="宋体"/>
                <w:color w:val="000000"/>
                <w:sz w:val="24"/>
              </w:rPr>
              <w:t>年紧急救援任务，降低突发事件的损失；完成20</w:t>
            </w:r>
            <w:r>
              <w:rPr>
                <w:rFonts w:hint="eastAsia" w:ascii="宋体" w:hAnsi="宋体" w:cs="宋体"/>
                <w:color w:val="000000"/>
                <w:sz w:val="24"/>
                <w:lang w:val="en-US" w:eastAsia="zh-CN"/>
              </w:rPr>
              <w:t>20</w:t>
            </w:r>
            <w:r>
              <w:rPr>
                <w:rFonts w:hint="eastAsia" w:ascii="宋体" w:hAnsi="宋体" w:cs="宋体"/>
                <w:color w:val="000000"/>
                <w:sz w:val="24"/>
              </w:rPr>
              <w:t>年传染病医院预防及治疗工作，有效控制传染病传播范围，减少发病人数；完成20</w:t>
            </w:r>
            <w:r>
              <w:rPr>
                <w:rFonts w:hint="eastAsia" w:ascii="宋体" w:hAnsi="宋体" w:cs="宋体"/>
                <w:color w:val="000000"/>
                <w:sz w:val="24"/>
                <w:lang w:val="en-US" w:eastAsia="zh-CN"/>
              </w:rPr>
              <w:t>20</w:t>
            </w:r>
            <w:r>
              <w:rPr>
                <w:rFonts w:hint="eastAsia" w:ascii="宋体" w:hAnsi="宋体" w:cs="宋体"/>
                <w:color w:val="000000"/>
                <w:sz w:val="24"/>
              </w:rPr>
              <w:t>年住院医师规范化培训任务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承担</w:t>
            </w:r>
            <w:r>
              <w:rPr>
                <w:rFonts w:hint="eastAsia" w:ascii="宋体" w:hAnsi="宋体" w:cs="宋体"/>
                <w:color w:val="000000"/>
                <w:sz w:val="24"/>
                <w:lang w:eastAsia="zh-CN"/>
              </w:rPr>
              <w:t>了</w:t>
            </w:r>
            <w:r>
              <w:rPr>
                <w:rFonts w:hint="eastAsia" w:ascii="宋体" w:hAnsi="宋体" w:cs="宋体"/>
                <w:color w:val="000000"/>
                <w:sz w:val="24"/>
              </w:rPr>
              <w:t>全市20</w:t>
            </w:r>
            <w:r>
              <w:rPr>
                <w:rFonts w:hint="eastAsia" w:ascii="宋体" w:hAnsi="宋体" w:cs="宋体"/>
                <w:color w:val="000000"/>
                <w:sz w:val="24"/>
                <w:lang w:val="en-US" w:eastAsia="zh-CN"/>
              </w:rPr>
              <w:t>20</w:t>
            </w:r>
            <w:r>
              <w:rPr>
                <w:rFonts w:hint="eastAsia" w:ascii="宋体" w:hAnsi="宋体" w:cs="宋体"/>
                <w:color w:val="000000"/>
                <w:sz w:val="24"/>
              </w:rPr>
              <w:t>年紧急救援任务，降低</w:t>
            </w:r>
            <w:r>
              <w:rPr>
                <w:rFonts w:hint="eastAsia" w:ascii="宋体" w:hAnsi="宋体" w:cs="宋体"/>
                <w:color w:val="000000"/>
                <w:sz w:val="24"/>
                <w:lang w:eastAsia="zh-CN"/>
              </w:rPr>
              <w:t>了</w:t>
            </w:r>
            <w:r>
              <w:rPr>
                <w:rFonts w:hint="eastAsia" w:ascii="宋体" w:hAnsi="宋体" w:cs="宋体"/>
                <w:color w:val="000000"/>
                <w:sz w:val="24"/>
              </w:rPr>
              <w:t>突发事件的损失；完成</w:t>
            </w:r>
            <w:r>
              <w:rPr>
                <w:rFonts w:hint="eastAsia" w:ascii="宋体" w:hAnsi="宋体" w:cs="宋体"/>
                <w:color w:val="000000"/>
                <w:sz w:val="24"/>
                <w:lang w:eastAsia="zh-CN"/>
              </w:rPr>
              <w:t>了</w:t>
            </w:r>
            <w:r>
              <w:rPr>
                <w:rFonts w:hint="eastAsia" w:ascii="宋体" w:hAnsi="宋体" w:cs="宋体"/>
                <w:color w:val="000000"/>
                <w:sz w:val="24"/>
              </w:rPr>
              <w:t>20</w:t>
            </w:r>
            <w:r>
              <w:rPr>
                <w:rFonts w:hint="eastAsia" w:ascii="宋体" w:hAnsi="宋体" w:cs="宋体"/>
                <w:color w:val="000000"/>
                <w:sz w:val="24"/>
                <w:lang w:val="en-US" w:eastAsia="zh-CN"/>
              </w:rPr>
              <w:t>20</w:t>
            </w:r>
            <w:r>
              <w:rPr>
                <w:rFonts w:hint="eastAsia" w:ascii="宋体" w:hAnsi="宋体" w:cs="宋体"/>
                <w:color w:val="000000"/>
                <w:sz w:val="24"/>
              </w:rPr>
              <w:t>年传染病医院预防及治疗工作，有效控制</w:t>
            </w:r>
            <w:r>
              <w:rPr>
                <w:rFonts w:hint="eastAsia" w:ascii="宋体" w:hAnsi="宋体" w:cs="宋体"/>
                <w:color w:val="000000"/>
                <w:sz w:val="24"/>
                <w:lang w:eastAsia="zh-CN"/>
              </w:rPr>
              <w:t>了</w:t>
            </w:r>
            <w:r>
              <w:rPr>
                <w:rFonts w:hint="eastAsia" w:ascii="宋体" w:hAnsi="宋体" w:cs="宋体"/>
                <w:color w:val="000000"/>
                <w:sz w:val="24"/>
              </w:rPr>
              <w:t>传染病传播范围，减少发病人数；完成</w:t>
            </w:r>
            <w:r>
              <w:rPr>
                <w:rFonts w:hint="eastAsia" w:ascii="宋体" w:hAnsi="宋体" w:cs="宋体"/>
                <w:color w:val="000000"/>
                <w:sz w:val="24"/>
                <w:lang w:eastAsia="zh-CN"/>
              </w:rPr>
              <w:t>了</w:t>
            </w:r>
            <w:r>
              <w:rPr>
                <w:rFonts w:hint="eastAsia" w:ascii="宋体" w:hAnsi="宋体" w:cs="宋体"/>
                <w:color w:val="000000"/>
                <w:sz w:val="24"/>
              </w:rPr>
              <w:t>20</w:t>
            </w:r>
            <w:r>
              <w:rPr>
                <w:rFonts w:hint="eastAsia" w:ascii="宋体" w:hAnsi="宋体" w:cs="宋体"/>
                <w:color w:val="000000"/>
                <w:sz w:val="24"/>
                <w:lang w:val="en-US" w:eastAsia="zh-CN"/>
              </w:rPr>
              <w:t>20</w:t>
            </w:r>
            <w:r>
              <w:rPr>
                <w:rFonts w:hint="eastAsia" w:ascii="宋体" w:hAnsi="宋体" w:cs="宋体"/>
                <w:color w:val="000000"/>
                <w:sz w:val="24"/>
              </w:rPr>
              <w:t>年住院医师规范化培训任务</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64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产出指标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 xml:space="preserve">质量指标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突发事件处理及时度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654"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社会指标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突发事件造成的损失</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有所降低</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有所降低</w:t>
            </w:r>
          </w:p>
        </w:tc>
      </w:tr>
      <w:tr>
        <w:tblPrEx>
          <w:tblCellMar>
            <w:top w:w="0" w:type="dxa"/>
            <w:left w:w="0" w:type="dxa"/>
            <w:bottom w:w="0" w:type="dxa"/>
            <w:right w:w="0" w:type="dxa"/>
          </w:tblCellMar>
        </w:tblPrEx>
        <w:trPr>
          <w:trHeight w:val="654"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效益效益</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医疗服务水平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有所提升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有所提升</w:t>
            </w:r>
          </w:p>
        </w:tc>
      </w:tr>
      <w:tr>
        <w:tblPrEx>
          <w:tblCellMar>
            <w:top w:w="0" w:type="dxa"/>
            <w:left w:w="0" w:type="dxa"/>
            <w:bottom w:w="0" w:type="dxa"/>
            <w:right w:w="0" w:type="dxa"/>
          </w:tblCellMar>
        </w:tblPrEx>
        <w:trPr>
          <w:trHeight w:val="79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效益效益</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传染病传染范围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有所缩小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有所缩小</w:t>
            </w:r>
          </w:p>
        </w:tc>
      </w:tr>
      <w:tr>
        <w:tblPrEx>
          <w:tblCellMar>
            <w:top w:w="0" w:type="dxa"/>
            <w:left w:w="0" w:type="dxa"/>
            <w:bottom w:w="0" w:type="dxa"/>
            <w:right w:w="0" w:type="dxa"/>
          </w:tblCellMar>
        </w:tblPrEx>
        <w:trPr>
          <w:trHeight w:val="79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可持续影响</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培养临床技能优秀，理论水平较高的医学人才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有所提升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有所提升</w:t>
            </w:r>
          </w:p>
        </w:tc>
      </w:tr>
      <w:tr>
        <w:tblPrEx>
          <w:tblCellMar>
            <w:top w:w="0" w:type="dxa"/>
            <w:left w:w="0" w:type="dxa"/>
            <w:bottom w:w="0" w:type="dxa"/>
            <w:right w:w="0" w:type="dxa"/>
          </w:tblCellMar>
        </w:tblPrEx>
        <w:trPr>
          <w:trHeight w:val="79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 xml:space="preserve">满意度指标 </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334" w:hRule="atLeast"/>
          <w:jc w:val="center"/>
        </w:trPr>
        <w:tc>
          <w:tcPr>
            <w:tcW w:w="9960" w:type="dxa"/>
            <w:gridSpan w:val="7"/>
            <w:tcBorders>
              <w:top w:val="nil"/>
              <w:left w:val="nil"/>
              <w:bottom w:val="nil"/>
              <w:right w:val="nil"/>
            </w:tcBorders>
            <w:tcMar>
              <w:top w:w="15" w:type="dxa"/>
              <w:left w:w="15" w:type="dxa"/>
              <w:right w:w="15" w:type="dxa"/>
            </w:tcMar>
            <w:vAlign w:val="center"/>
          </w:tcPr>
          <w:p>
            <w:pPr>
              <w:widowControl/>
              <w:jc w:val="both"/>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276" w:hRule="atLeast"/>
          <w:jc w:val="center"/>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以色列政府贷款还本付息</w:t>
            </w:r>
          </w:p>
        </w:tc>
      </w:tr>
      <w:tr>
        <w:tblPrEx>
          <w:tblCellMar>
            <w:top w:w="0" w:type="dxa"/>
            <w:left w:w="0" w:type="dxa"/>
            <w:bottom w:w="0" w:type="dxa"/>
            <w:right w:w="0" w:type="dxa"/>
          </w:tblCellMar>
        </w:tblPrEx>
        <w:trPr>
          <w:trHeight w:val="276" w:hRule="atLeast"/>
          <w:jc w:val="center"/>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巴中市中心医院</w:t>
            </w:r>
          </w:p>
        </w:tc>
      </w:tr>
      <w:tr>
        <w:tblPrEx>
          <w:tblCellMar>
            <w:top w:w="0" w:type="dxa"/>
            <w:left w:w="0" w:type="dxa"/>
            <w:bottom w:w="0" w:type="dxa"/>
            <w:right w:w="0" w:type="dxa"/>
          </w:tblCellMar>
        </w:tblPrEx>
        <w:trPr>
          <w:trHeight w:val="276" w:hRule="atLeast"/>
          <w:jc w:val="center"/>
        </w:trPr>
        <w:tc>
          <w:tcPr>
            <w:tcW w:w="53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25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2554</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2306.78</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jc w:val="center"/>
        </w:trPr>
        <w:tc>
          <w:tcPr>
            <w:tcW w:w="53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25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1000万元</w:t>
            </w:r>
          </w:p>
        </w:tc>
      </w:tr>
      <w:tr>
        <w:tblPrEx>
          <w:tblCellMar>
            <w:top w:w="0" w:type="dxa"/>
            <w:left w:w="0" w:type="dxa"/>
            <w:bottom w:w="0" w:type="dxa"/>
            <w:right w:w="0" w:type="dxa"/>
          </w:tblCellMar>
        </w:tblPrEx>
        <w:trPr>
          <w:trHeight w:val="1511" w:hRule="atLeast"/>
          <w:jc w:val="center"/>
        </w:trPr>
        <w:tc>
          <w:tcPr>
            <w:tcW w:w="53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25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1554</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1306.78</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jc w:val="center"/>
        </w:trPr>
        <w:tc>
          <w:tcPr>
            <w:tcW w:w="53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6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53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6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bidi="ar"/>
              </w:rPr>
              <w:t>完成20</w:t>
            </w:r>
            <w:r>
              <w:rPr>
                <w:rFonts w:hint="eastAsia" w:ascii="宋体" w:hAnsi="宋体" w:cs="宋体"/>
                <w:color w:val="000000"/>
                <w:kern w:val="0"/>
                <w:sz w:val="24"/>
                <w:lang w:val="en-US" w:eastAsia="zh-CN" w:bidi="ar"/>
              </w:rPr>
              <w:t>20</w:t>
            </w:r>
            <w:r>
              <w:rPr>
                <w:rFonts w:hint="eastAsia" w:ascii="宋体" w:hAnsi="宋体" w:cs="宋体"/>
                <w:color w:val="000000"/>
                <w:kern w:val="0"/>
                <w:sz w:val="24"/>
                <w:lang w:eastAsia="zh-CN" w:bidi="ar"/>
              </w:rPr>
              <w:t>年以色列贷款本金及利息还款任务，保障巴中及周边患者就近就医，提高我院的临床诊断和治疗水平</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bidi="ar"/>
              </w:rPr>
              <w:t>完成了20</w:t>
            </w:r>
            <w:r>
              <w:rPr>
                <w:rFonts w:hint="eastAsia" w:ascii="宋体" w:hAnsi="宋体" w:cs="宋体"/>
                <w:color w:val="000000"/>
                <w:kern w:val="0"/>
                <w:sz w:val="24"/>
                <w:lang w:val="en-US" w:eastAsia="zh-CN" w:bidi="ar"/>
              </w:rPr>
              <w:t>20</w:t>
            </w:r>
            <w:r>
              <w:rPr>
                <w:rFonts w:hint="eastAsia" w:ascii="宋体" w:hAnsi="宋体" w:cs="宋体"/>
                <w:color w:val="000000"/>
                <w:kern w:val="0"/>
                <w:sz w:val="24"/>
                <w:lang w:eastAsia="zh-CN" w:bidi="ar"/>
              </w:rPr>
              <w:t>年以色列贷款本金及利息还款任务，保障了巴中及周边患者就近就医，提高了我院的临床诊断和治疗水平</w:t>
            </w:r>
          </w:p>
        </w:tc>
      </w:tr>
      <w:tr>
        <w:tblPrEx>
          <w:tblCellMar>
            <w:top w:w="0" w:type="dxa"/>
            <w:left w:w="0" w:type="dxa"/>
            <w:bottom w:w="0" w:type="dxa"/>
            <w:right w:w="0" w:type="dxa"/>
          </w:tblCellMar>
        </w:tblPrEx>
        <w:trPr>
          <w:trHeight w:val="1042" w:hRule="atLeast"/>
          <w:jc w:val="center"/>
        </w:trPr>
        <w:tc>
          <w:tcPr>
            <w:tcW w:w="530"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2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647" w:hRule="atLeast"/>
          <w:jc w:val="center"/>
        </w:trPr>
        <w:tc>
          <w:tcPr>
            <w:tcW w:w="530"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2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产出指标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还款计划按期完成率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654" w:hRule="atLeast"/>
          <w:jc w:val="center"/>
        </w:trPr>
        <w:tc>
          <w:tcPr>
            <w:tcW w:w="530"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2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效益指标益</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医疗服务水平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有所提升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有所提升</w:t>
            </w:r>
          </w:p>
        </w:tc>
      </w:tr>
      <w:tr>
        <w:tblPrEx>
          <w:tblCellMar>
            <w:top w:w="0" w:type="dxa"/>
            <w:left w:w="0" w:type="dxa"/>
            <w:bottom w:w="0" w:type="dxa"/>
            <w:right w:w="0" w:type="dxa"/>
          </w:tblCellMar>
        </w:tblPrEx>
        <w:trPr>
          <w:trHeight w:val="654" w:hRule="atLeast"/>
          <w:jc w:val="center"/>
        </w:trPr>
        <w:tc>
          <w:tcPr>
            <w:tcW w:w="530"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2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 xml:space="preserve">满意度指标 </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334" w:hRule="atLeast"/>
          <w:jc w:val="center"/>
        </w:trPr>
        <w:tc>
          <w:tcPr>
            <w:tcW w:w="9960" w:type="dxa"/>
            <w:gridSpan w:val="7"/>
            <w:tcBorders>
              <w:top w:val="nil"/>
              <w:left w:val="nil"/>
              <w:bottom w:val="nil"/>
              <w:right w:val="nil"/>
            </w:tcBorders>
            <w:tcMar>
              <w:top w:w="15" w:type="dxa"/>
              <w:left w:w="15" w:type="dxa"/>
              <w:right w:w="15" w:type="dxa"/>
            </w:tcMar>
            <w:vAlign w:val="center"/>
          </w:tcPr>
          <w:p>
            <w:pPr>
              <w:widowControl/>
              <w:jc w:val="both"/>
              <w:textAlignment w:val="center"/>
              <w:rPr>
                <w:rFonts w:hint="eastAsia" w:ascii="宋体" w:hAnsi="宋体" w:cs="宋体"/>
                <w:b/>
                <w:bCs/>
                <w:color w:val="000000"/>
                <w:kern w:val="0"/>
                <w:sz w:val="36"/>
                <w:szCs w:val="36"/>
              </w:rPr>
            </w:pPr>
          </w:p>
          <w:p>
            <w:pPr>
              <w:widowControl/>
              <w:jc w:val="both"/>
              <w:textAlignment w:val="center"/>
              <w:rPr>
                <w:rFonts w:hint="eastAsia" w:ascii="宋体" w:hAnsi="宋体" w:cs="宋体"/>
                <w:b/>
                <w:bCs/>
                <w:color w:val="000000"/>
                <w:kern w:val="0"/>
                <w:sz w:val="36"/>
                <w:szCs w:val="36"/>
              </w:rPr>
            </w:pPr>
          </w:p>
          <w:p>
            <w:pPr>
              <w:widowControl/>
              <w:jc w:val="both"/>
              <w:textAlignment w:val="center"/>
              <w:rPr>
                <w:rFonts w:hint="eastAsia" w:ascii="宋体" w:hAnsi="宋体" w:cs="宋体"/>
                <w:b/>
                <w:bCs/>
                <w:color w:val="000000"/>
                <w:kern w:val="0"/>
                <w:sz w:val="36"/>
                <w:szCs w:val="36"/>
              </w:rPr>
            </w:pPr>
          </w:p>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jc w:val="center"/>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抗疫特别国债资金</w:t>
            </w:r>
          </w:p>
        </w:tc>
      </w:tr>
      <w:tr>
        <w:tblPrEx>
          <w:tblCellMar>
            <w:top w:w="0" w:type="dxa"/>
            <w:left w:w="0" w:type="dxa"/>
            <w:bottom w:w="0" w:type="dxa"/>
            <w:right w:w="0" w:type="dxa"/>
          </w:tblCellMar>
        </w:tblPrEx>
        <w:trPr>
          <w:trHeight w:val="276" w:hRule="atLeast"/>
          <w:jc w:val="center"/>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巴中市中心医院</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1624</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1624</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1624</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1624</w:t>
            </w:r>
            <w:r>
              <w:rPr>
                <w:rFonts w:hint="eastAsia" w:ascii="宋体" w:hAnsi="宋体" w:cs="宋体"/>
                <w:color w:val="000000"/>
                <w:sz w:val="24"/>
              </w:rPr>
              <w:t>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0</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0</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264"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提升重大疫情防控救治能力</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720" w:firstLineChars="300"/>
              <w:jc w:val="left"/>
              <w:textAlignment w:val="center"/>
              <w:rPr>
                <w:rFonts w:ascii="宋体" w:hAnsi="宋体" w:cs="宋体"/>
                <w:color w:val="000000"/>
                <w:sz w:val="24"/>
              </w:rPr>
            </w:pPr>
            <w:r>
              <w:rPr>
                <w:rFonts w:hint="eastAsia" w:ascii="宋体" w:hAnsi="宋体" w:cs="宋体"/>
                <w:color w:val="000000"/>
                <w:sz w:val="24"/>
                <w:lang w:eastAsia="zh-CN"/>
              </w:rPr>
              <w:t>提升了重大疫情防控救治能力</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64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产出指标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 xml:space="preserve">数量指标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医院床位增加数（床）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300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300</w:t>
            </w:r>
          </w:p>
        </w:tc>
      </w:tr>
      <w:tr>
        <w:tblPrEx>
          <w:tblCellMar>
            <w:top w:w="0" w:type="dxa"/>
            <w:left w:w="0" w:type="dxa"/>
            <w:bottom w:w="0" w:type="dxa"/>
            <w:right w:w="0" w:type="dxa"/>
          </w:tblCellMar>
        </w:tblPrEx>
        <w:trPr>
          <w:trHeight w:val="654"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产出指标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购置的医疗设备防护用品等是否验收合格</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是</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是</w:t>
            </w:r>
          </w:p>
        </w:tc>
      </w:tr>
      <w:tr>
        <w:tblPrEx>
          <w:tblCellMar>
            <w:top w:w="0" w:type="dxa"/>
            <w:left w:w="0" w:type="dxa"/>
            <w:bottom w:w="0" w:type="dxa"/>
            <w:right w:w="0" w:type="dxa"/>
          </w:tblCellMar>
        </w:tblPrEx>
        <w:trPr>
          <w:trHeight w:val="79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效益效益</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诊疗能力提升人次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300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300</w:t>
            </w:r>
          </w:p>
        </w:tc>
      </w:tr>
      <w:tr>
        <w:tblPrEx>
          <w:tblCellMar>
            <w:top w:w="0" w:type="dxa"/>
            <w:left w:w="0" w:type="dxa"/>
            <w:bottom w:w="0" w:type="dxa"/>
            <w:right w:w="0" w:type="dxa"/>
          </w:tblCellMar>
        </w:tblPrEx>
        <w:trPr>
          <w:trHeight w:val="79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可持续影响</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当地重大疫情防疫救治能力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有所提升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有所提升</w:t>
            </w:r>
          </w:p>
        </w:tc>
      </w:tr>
      <w:tr>
        <w:tblPrEx>
          <w:tblCellMar>
            <w:top w:w="0" w:type="dxa"/>
            <w:left w:w="0" w:type="dxa"/>
            <w:bottom w:w="0" w:type="dxa"/>
            <w:right w:w="0" w:type="dxa"/>
          </w:tblCellMar>
        </w:tblPrEx>
        <w:trPr>
          <w:trHeight w:val="79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 xml:space="preserve">满意度指标 </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100%</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eastAsia="zh-CN"/>
        </w:rPr>
        <w:t>巴中市中心医院</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年部门整体支出绩效评价报告》见附件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spacing w:line="600" w:lineRule="exact"/>
        <w:ind w:firstLine="642"/>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本部门自行组织对“</w:t>
      </w:r>
      <w:r>
        <w:rPr>
          <w:rFonts w:hint="eastAsia" w:ascii="仿宋_GB2312" w:hAnsi="仿宋_GB2312" w:eastAsia="仿宋_GB2312" w:cs="仿宋_GB2312"/>
          <w:sz w:val="32"/>
          <w:szCs w:val="32"/>
          <w:lang w:eastAsia="zh-CN"/>
        </w:rPr>
        <w:t>抗疫特别国债资金项目”开展了绩效评价，《巴中市中心医院抗疫特别国债资金项目2020年度绩效评价报告》见附件</w:t>
      </w:r>
      <w:r>
        <w:rPr>
          <w:rFonts w:hint="eastAsia" w:ascii="仿宋_GB2312" w:hAnsi="仿宋_GB2312" w:eastAsia="仿宋_GB2312" w:cs="仿宋_GB2312"/>
          <w:sz w:val="32"/>
          <w:szCs w:val="32"/>
          <w:lang w:val="en-US" w:eastAsia="zh-CN"/>
        </w:rPr>
        <w:t>2。</w:t>
      </w:r>
    </w:p>
    <w:p>
      <w:pPr>
        <w:spacing w:line="600" w:lineRule="exact"/>
        <w:ind w:firstLine="642"/>
        <w:jc w:val="left"/>
        <w:rPr>
          <w:rFonts w:hint="eastAsia" w:ascii="仿宋_GB2312" w:hAnsi="仿宋_GB2312" w:eastAsia="仿宋_GB2312" w:cs="仿宋_GB2312"/>
          <w:sz w:val="32"/>
          <w:szCs w:val="32"/>
          <w:lang w:val="en-US" w:eastAsia="zh-CN"/>
        </w:rPr>
      </w:pPr>
    </w:p>
    <w:p>
      <w:pPr>
        <w:spacing w:line="600" w:lineRule="exact"/>
        <w:ind w:firstLine="642"/>
        <w:jc w:val="left"/>
        <w:rPr>
          <w:rFonts w:hint="eastAsia" w:ascii="仿宋_GB2312" w:hAnsi="仿宋_GB2312" w:eastAsia="仿宋_GB2312" w:cs="仿宋_GB2312"/>
          <w:sz w:val="32"/>
          <w:szCs w:val="32"/>
          <w:lang w:val="en-US" w:eastAsia="zh-CN"/>
        </w:rPr>
      </w:pPr>
    </w:p>
    <w:p>
      <w:pPr>
        <w:spacing w:line="600" w:lineRule="exact"/>
        <w:ind w:firstLine="642"/>
        <w:jc w:val="left"/>
        <w:rPr>
          <w:rFonts w:hint="eastAsia" w:ascii="仿宋_GB2312" w:hAnsi="仿宋_GB2312" w:eastAsia="仿宋_GB2312" w:cs="仿宋_GB2312"/>
          <w:sz w:val="32"/>
          <w:szCs w:val="32"/>
          <w:lang w:val="en-US" w:eastAsia="zh-CN"/>
        </w:rPr>
      </w:pPr>
    </w:p>
    <w:p>
      <w:pPr>
        <w:spacing w:line="600" w:lineRule="exact"/>
        <w:ind w:firstLine="642"/>
        <w:jc w:val="left"/>
        <w:rPr>
          <w:rFonts w:hint="eastAsia" w:ascii="仿宋_GB2312" w:hAnsi="仿宋_GB2312" w:eastAsia="仿宋_GB2312" w:cs="仿宋_GB2312"/>
          <w:sz w:val="32"/>
          <w:szCs w:val="32"/>
          <w:lang w:val="en-US" w:eastAsia="zh-CN"/>
        </w:rPr>
      </w:pPr>
    </w:p>
    <w:p>
      <w:pPr>
        <w:numPr>
          <w:ilvl w:val="0"/>
          <w:numId w:val="5"/>
        </w:numPr>
        <w:spacing w:line="600" w:lineRule="exact"/>
        <w:ind w:firstLine="660" w:firstLineChars="150"/>
        <w:jc w:val="center"/>
        <w:outlineLvl w:val="0"/>
        <w:rPr>
          <w:rStyle w:val="25"/>
          <w:rFonts w:ascii="黑体" w:hAnsi="黑体" w:eastAsia="黑体"/>
          <w:b w:val="0"/>
        </w:rPr>
      </w:pPr>
      <w:bookmarkStart w:id="52" w:name="_Toc15396613"/>
      <w:bookmarkStart w:id="53" w:name="_Toc15377225"/>
      <w:r>
        <w:rPr>
          <w:rFonts w:hint="eastAsia" w:ascii="黑体" w:hAnsi="黑体" w:eastAsia="黑体"/>
          <w:color w:val="000000"/>
          <w:sz w:val="44"/>
          <w:szCs w:val="44"/>
        </w:rPr>
        <w:t>名</w:t>
      </w:r>
      <w:r>
        <w:rPr>
          <w:rStyle w:val="25"/>
          <w:rFonts w:hint="eastAsia" w:ascii="黑体" w:hAnsi="黑体" w:eastAsia="黑体"/>
          <w:b w:val="0"/>
        </w:rPr>
        <w:t>词解释</w:t>
      </w:r>
      <w:bookmarkEnd w:id="52"/>
      <w:bookmarkEnd w:id="53"/>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w:t>
      </w:r>
      <w:r>
        <w:rPr>
          <w:rFonts w:hint="eastAsia" w:ascii="仿宋_GB2312" w:eastAsia="仿宋_GB2312"/>
          <w:sz w:val="32"/>
          <w:szCs w:val="32"/>
          <w:lang w:eastAsia="zh-CN"/>
        </w:rPr>
        <w:t>医疗收入</w:t>
      </w:r>
      <w:r>
        <w:rPr>
          <w:rFonts w:hint="eastAsia" w:ascii="仿宋_GB2312" w:eastAsia="仿宋_GB2312"/>
          <w:sz w:val="32"/>
          <w:szCs w:val="32"/>
        </w:rPr>
        <w:t>等。</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w:t>
      </w:r>
      <w:r>
        <w:rPr>
          <w:rFonts w:hint="eastAsia" w:ascii="仿宋_GB2312" w:eastAsia="仿宋_GB2312"/>
          <w:sz w:val="32"/>
          <w:szCs w:val="32"/>
          <w:lang w:eastAsia="zh-CN"/>
        </w:rPr>
        <w:t>救护车收入、租金收入</w:t>
      </w:r>
      <w:r>
        <w:rPr>
          <w:rFonts w:hint="eastAsia" w:ascii="仿宋_GB2312" w:eastAsia="仿宋_GB2312"/>
          <w:sz w:val="32"/>
          <w:szCs w:val="32"/>
        </w:rPr>
        <w:t>等。</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pStyle w:val="23"/>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eastAsia="zh-CN"/>
        </w:rPr>
        <w:t>卫生健康</w:t>
      </w:r>
      <w:r>
        <w:rPr>
          <w:rFonts w:hint="eastAsia" w:ascii="仿宋_GB2312" w:eastAsia="仿宋_GB2312"/>
          <w:sz w:val="32"/>
          <w:szCs w:val="32"/>
        </w:rPr>
        <w:t>（类）</w:t>
      </w:r>
      <w:r>
        <w:rPr>
          <w:rFonts w:hint="eastAsia" w:ascii="仿宋_GB2312" w:eastAsia="仿宋_GB2312"/>
          <w:sz w:val="32"/>
          <w:szCs w:val="32"/>
          <w:lang w:eastAsia="zh-CN"/>
        </w:rPr>
        <w:t>公立医院</w:t>
      </w:r>
      <w:r>
        <w:rPr>
          <w:rFonts w:hint="eastAsia" w:ascii="仿宋_GB2312" w:eastAsia="仿宋_GB2312"/>
          <w:sz w:val="32"/>
          <w:szCs w:val="32"/>
        </w:rPr>
        <w:t>（款）</w:t>
      </w:r>
      <w:r>
        <w:rPr>
          <w:rFonts w:hint="eastAsia" w:ascii="仿宋_GB2312" w:eastAsia="仿宋_GB2312"/>
          <w:sz w:val="32"/>
          <w:szCs w:val="32"/>
          <w:lang w:eastAsia="zh-CN"/>
        </w:rPr>
        <w:t>综合医院</w:t>
      </w:r>
      <w:r>
        <w:rPr>
          <w:rFonts w:hint="eastAsia" w:ascii="仿宋_GB2312" w:eastAsia="仿宋_GB2312"/>
          <w:sz w:val="32"/>
          <w:szCs w:val="32"/>
        </w:rPr>
        <w:t>（项）:</w:t>
      </w:r>
      <w:r>
        <w:rPr>
          <w:rFonts w:hint="eastAsia" w:ascii="仿宋_GB2312" w:eastAsia="仿宋_GB2312"/>
          <w:color w:val="000000"/>
          <w:sz w:val="32"/>
          <w:szCs w:val="32"/>
        </w:rPr>
        <w:t>指为保障</w:t>
      </w:r>
      <w:r>
        <w:rPr>
          <w:rFonts w:hint="eastAsia" w:ascii="仿宋_GB2312" w:eastAsia="仿宋_GB2312"/>
          <w:color w:val="000000"/>
          <w:sz w:val="32"/>
          <w:szCs w:val="32"/>
          <w:lang w:eastAsia="zh-CN"/>
        </w:rPr>
        <w:t>医院</w:t>
      </w:r>
      <w:r>
        <w:rPr>
          <w:rFonts w:hint="eastAsia" w:ascii="仿宋_GB2312" w:eastAsia="仿宋_GB2312"/>
          <w:color w:val="000000"/>
          <w:sz w:val="32"/>
          <w:szCs w:val="32"/>
        </w:rPr>
        <w:t>正常运转、完成日常工作任务而发生的</w:t>
      </w:r>
      <w:r>
        <w:rPr>
          <w:rFonts w:hint="eastAsia" w:ascii="仿宋_GB2312" w:eastAsia="仿宋_GB2312"/>
          <w:color w:val="000000"/>
          <w:sz w:val="32"/>
          <w:szCs w:val="32"/>
          <w:lang w:eastAsia="zh-CN"/>
        </w:rPr>
        <w:t>。如：工资福利支出、商品和服务支出等。</w:t>
      </w:r>
    </w:p>
    <w:p>
      <w:pPr>
        <w:pStyle w:val="23"/>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eastAsia="zh-CN"/>
        </w:rPr>
        <w:t>卫生健康</w:t>
      </w:r>
      <w:r>
        <w:rPr>
          <w:rFonts w:hint="eastAsia" w:ascii="仿宋_GB2312" w:eastAsia="仿宋_GB2312"/>
          <w:sz w:val="32"/>
          <w:szCs w:val="32"/>
        </w:rPr>
        <w:t>（类）</w:t>
      </w:r>
      <w:r>
        <w:rPr>
          <w:rFonts w:hint="eastAsia" w:ascii="仿宋_GB2312" w:eastAsia="仿宋_GB2312"/>
          <w:sz w:val="32"/>
          <w:szCs w:val="32"/>
          <w:lang w:eastAsia="zh-CN"/>
        </w:rPr>
        <w:t>公共卫生</w:t>
      </w:r>
      <w:r>
        <w:rPr>
          <w:rFonts w:hint="eastAsia" w:ascii="仿宋_GB2312" w:eastAsia="仿宋_GB2312"/>
          <w:sz w:val="32"/>
          <w:szCs w:val="32"/>
        </w:rPr>
        <w:t>（款）</w:t>
      </w:r>
      <w:r>
        <w:rPr>
          <w:rFonts w:hint="eastAsia" w:ascii="仿宋_GB2312" w:eastAsia="仿宋_GB2312"/>
          <w:sz w:val="32"/>
          <w:szCs w:val="32"/>
          <w:lang w:eastAsia="zh-CN"/>
        </w:rPr>
        <w:t>基本公共卫生服务</w:t>
      </w:r>
      <w:r>
        <w:rPr>
          <w:rFonts w:hint="eastAsia" w:ascii="仿宋_GB2312" w:eastAsia="仿宋_GB2312"/>
          <w:sz w:val="32"/>
          <w:szCs w:val="32"/>
        </w:rPr>
        <w:t>（项）:</w:t>
      </w:r>
      <w:r>
        <w:rPr>
          <w:rFonts w:hint="eastAsia" w:ascii="仿宋_GB2312" w:eastAsia="仿宋_GB2312"/>
          <w:sz w:val="32"/>
          <w:szCs w:val="32"/>
          <w:lang w:eastAsia="zh-CN"/>
        </w:rPr>
        <w:t>指公立医院基本公共卫生服务的运行。如疾病预防控制等。</w:t>
      </w:r>
    </w:p>
    <w:p>
      <w:pPr>
        <w:pStyle w:val="23"/>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eastAsia="仿宋_GB2312"/>
          <w:sz w:val="32"/>
          <w:szCs w:val="32"/>
          <w:lang w:eastAsia="zh-CN"/>
        </w:rPr>
        <w:t>卫生健康</w:t>
      </w:r>
      <w:r>
        <w:rPr>
          <w:rFonts w:hint="eastAsia" w:ascii="仿宋_GB2312" w:eastAsia="仿宋_GB2312"/>
          <w:sz w:val="32"/>
          <w:szCs w:val="32"/>
        </w:rPr>
        <w:t>（类）</w:t>
      </w:r>
      <w:r>
        <w:rPr>
          <w:rFonts w:hint="eastAsia" w:ascii="仿宋_GB2312" w:eastAsia="仿宋_GB2312"/>
          <w:sz w:val="32"/>
          <w:szCs w:val="32"/>
          <w:lang w:eastAsia="zh-CN"/>
        </w:rPr>
        <w:t>公共卫生</w:t>
      </w:r>
      <w:r>
        <w:rPr>
          <w:rFonts w:hint="eastAsia" w:ascii="仿宋_GB2312" w:eastAsia="仿宋_GB2312"/>
          <w:sz w:val="32"/>
          <w:szCs w:val="32"/>
        </w:rPr>
        <w:t>（款）</w:t>
      </w:r>
      <w:r>
        <w:rPr>
          <w:rFonts w:hint="eastAsia" w:ascii="仿宋_GB2312" w:eastAsia="仿宋_GB2312"/>
          <w:sz w:val="32"/>
          <w:szCs w:val="32"/>
          <w:lang w:eastAsia="zh-CN"/>
        </w:rPr>
        <w:t>重大卫生专项</w:t>
      </w:r>
      <w:r>
        <w:rPr>
          <w:rFonts w:hint="eastAsia" w:ascii="仿宋_GB2312" w:eastAsia="仿宋_GB2312"/>
          <w:sz w:val="32"/>
          <w:szCs w:val="32"/>
        </w:rPr>
        <w:t>（项）:</w:t>
      </w:r>
      <w:r>
        <w:rPr>
          <w:rFonts w:hint="eastAsia" w:ascii="仿宋_GB2312" w:eastAsia="仿宋_GB2312"/>
          <w:sz w:val="32"/>
          <w:szCs w:val="32"/>
          <w:lang w:val="en-US" w:eastAsia="zh-CN"/>
        </w:rPr>
        <w:t>指反映重大疾病预防控制等重大公共卫生服务项目。如艾滋病防控、食品安全保障等。</w:t>
      </w:r>
    </w:p>
    <w:p>
      <w:pPr>
        <w:pStyle w:val="23"/>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eastAsia="zh-CN"/>
        </w:rPr>
        <w:t>卫生健康</w:t>
      </w:r>
      <w:r>
        <w:rPr>
          <w:rFonts w:hint="eastAsia" w:ascii="仿宋_GB2312" w:eastAsia="仿宋_GB2312"/>
          <w:sz w:val="32"/>
          <w:szCs w:val="32"/>
        </w:rPr>
        <w:t>（类）</w:t>
      </w:r>
      <w:r>
        <w:rPr>
          <w:rFonts w:hint="eastAsia" w:ascii="仿宋_GB2312" w:eastAsia="仿宋_GB2312"/>
          <w:sz w:val="32"/>
          <w:szCs w:val="32"/>
          <w:lang w:eastAsia="zh-CN"/>
        </w:rPr>
        <w:t>其他卫生健康支出</w:t>
      </w:r>
      <w:r>
        <w:rPr>
          <w:rFonts w:hint="eastAsia" w:ascii="仿宋_GB2312" w:eastAsia="仿宋_GB2312"/>
          <w:sz w:val="32"/>
          <w:szCs w:val="32"/>
        </w:rPr>
        <w:t>（款）</w:t>
      </w:r>
      <w:r>
        <w:rPr>
          <w:rFonts w:hint="eastAsia" w:ascii="仿宋_GB2312" w:eastAsia="仿宋_GB2312"/>
          <w:sz w:val="32"/>
          <w:szCs w:val="32"/>
          <w:lang w:eastAsia="zh-CN"/>
        </w:rPr>
        <w:t>其他卫生健康支出</w:t>
      </w:r>
      <w:r>
        <w:rPr>
          <w:rFonts w:hint="eastAsia" w:ascii="仿宋_GB2312" w:eastAsia="仿宋_GB2312"/>
          <w:sz w:val="32"/>
          <w:szCs w:val="32"/>
        </w:rPr>
        <w:t>（项）:</w:t>
      </w:r>
      <w:r>
        <w:rPr>
          <w:rFonts w:hint="eastAsia" w:ascii="仿宋_GB2312" w:eastAsia="仿宋_GB2312"/>
          <w:sz w:val="32"/>
          <w:szCs w:val="32"/>
          <w:lang w:eastAsia="zh-CN"/>
        </w:rPr>
        <w:t>反映其他用于公共卫生方面支出。如住院医师规范化培训等。</w:t>
      </w:r>
    </w:p>
    <w:p>
      <w:pPr>
        <w:pStyle w:val="23"/>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10.</w:t>
      </w:r>
      <w:r>
        <w:rPr>
          <w:rFonts w:hint="eastAsia" w:ascii="仿宋_GB2312" w:eastAsia="仿宋_GB2312"/>
          <w:sz w:val="32"/>
          <w:szCs w:val="32"/>
          <w:lang w:eastAsia="zh-CN"/>
        </w:rPr>
        <w:t>卫生健康支出（类）公立医院（款）突发公共卫生事件应急处理（项）：反映用于突发公共卫生事件应急处理的支出。</w:t>
      </w:r>
    </w:p>
    <w:p>
      <w:pPr>
        <w:pStyle w:val="23"/>
        <w:spacing w:line="560" w:lineRule="exact"/>
        <w:ind w:firstLine="640" w:firstLineChars="200"/>
        <w:rPr>
          <w:rFonts w:hint="eastAsia" w:ascii="仿宋_GB2312" w:eastAsia="仿宋"/>
          <w:sz w:val="32"/>
          <w:szCs w:val="32"/>
          <w:lang w:eastAsia="zh-CN"/>
        </w:rPr>
      </w:pPr>
      <w:r>
        <w:rPr>
          <w:rFonts w:hint="eastAsia" w:ascii="仿宋_GB2312" w:eastAsia="仿宋_GB2312"/>
          <w:sz w:val="32"/>
          <w:szCs w:val="32"/>
          <w:lang w:val="en-US" w:eastAsia="zh-CN"/>
        </w:rPr>
        <w:t>11.</w:t>
      </w:r>
      <w:r>
        <w:rPr>
          <w:rFonts w:hint="eastAsia" w:ascii="仿宋_GB2312" w:eastAsia="仿宋_GB2312"/>
          <w:sz w:val="32"/>
          <w:szCs w:val="32"/>
          <w:lang w:eastAsia="zh-CN"/>
        </w:rPr>
        <w:t>一般公共服务（类）人力资源事务（款）引进人才费用（项）:</w:t>
      </w:r>
      <w:r>
        <w:rPr>
          <w:rStyle w:val="15"/>
          <w:rFonts w:ascii="仿宋" w:hAnsi="仿宋" w:eastAsia="仿宋"/>
          <w:b w:val="0"/>
          <w:bCs/>
          <w:color w:val="000000"/>
          <w:sz w:val="32"/>
          <w:szCs w:val="32"/>
        </w:rPr>
        <w:t xml:space="preserve"> </w:t>
      </w:r>
      <w:r>
        <w:rPr>
          <w:rStyle w:val="15"/>
          <w:rFonts w:hint="eastAsia" w:hAnsi="仿宋"/>
          <w:b w:val="0"/>
          <w:bCs/>
          <w:color w:val="000000"/>
          <w:sz w:val="32"/>
          <w:szCs w:val="32"/>
          <w:lang w:eastAsia="zh-CN"/>
        </w:rPr>
        <w:t>反映对医院引进人才发生的安家补助等。</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13</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14</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s="黑体"/>
          <w:sz w:val="32"/>
          <w:szCs w:val="32"/>
        </w:rPr>
      </w:pPr>
      <w:r>
        <w:rPr>
          <w:rFonts w:hint="eastAsia" w:ascii="仿宋_GB2312" w:eastAsia="仿宋_GB2312"/>
          <w:sz w:val="32"/>
          <w:szCs w:val="32"/>
          <w:lang w:val="en-US" w:eastAsia="zh-CN"/>
        </w:rPr>
        <w:t>15</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rPr>
          <w:rFonts w:ascii="仿宋_GB2312" w:eastAsia="仿宋_GB2312" w:cs="黑体"/>
          <w:sz w:val="32"/>
          <w:szCs w:val="32"/>
        </w:rPr>
      </w:pPr>
    </w:p>
    <w:p>
      <w:pPr>
        <w:spacing w:line="600" w:lineRule="exact"/>
        <w:jc w:val="center"/>
        <w:outlineLvl w:val="0"/>
        <w:rPr>
          <w:rStyle w:val="25"/>
          <w:rFonts w:ascii="黑体" w:hAnsi="黑体" w:eastAsia="黑体"/>
          <w:b w:val="0"/>
        </w:rPr>
      </w:pPr>
      <w:bookmarkStart w:id="54" w:name="_Toc15396614"/>
      <w:bookmarkStart w:id="55" w:name="_Toc15377226"/>
      <w:r>
        <w:rPr>
          <w:rFonts w:hint="eastAsia" w:ascii="黑体" w:hAnsi="黑体" w:eastAsia="黑体"/>
          <w:color w:val="000000"/>
          <w:sz w:val="44"/>
          <w:szCs w:val="44"/>
        </w:rPr>
        <w:t>第</w:t>
      </w:r>
      <w:r>
        <w:rPr>
          <w:rStyle w:val="25"/>
          <w:rFonts w:hint="eastAsia" w:ascii="黑体" w:hAnsi="黑体" w:eastAsia="黑体"/>
          <w:b w:val="0"/>
        </w:rPr>
        <w:t>四部分 附件</w:t>
      </w:r>
      <w:bookmarkEnd w:id="54"/>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黑体" w:hAnsi="宋体" w:eastAsia="黑体" w:cs="宋体"/>
          <w:color w:val="000000"/>
          <w:kern w:val="0"/>
          <w:sz w:val="24"/>
          <w:szCs w:val="32"/>
          <w:shd w:val="clear" w:color="auto" w:fill="FFFFFF"/>
        </w:rPr>
      </w:pPr>
      <w:r>
        <w:rPr>
          <w:rFonts w:hint="eastAsia" w:ascii="方正小标宋简体" w:hAnsi="宋体" w:eastAsia="方正小标宋简体"/>
          <w:color w:val="000000"/>
          <w:kern w:val="0"/>
          <w:sz w:val="40"/>
          <w:szCs w:val="44"/>
          <w:lang w:eastAsia="zh-CN"/>
        </w:rPr>
        <w:t>巴中市中心医院</w:t>
      </w:r>
      <w:r>
        <w:rPr>
          <w:rFonts w:ascii="方正小标宋简体" w:hAnsi="宋体" w:eastAsia="方正小标宋简体"/>
          <w:color w:val="000000"/>
          <w:kern w:val="0"/>
          <w:sz w:val="40"/>
          <w:szCs w:val="44"/>
        </w:rPr>
        <w:t>20</w:t>
      </w:r>
      <w:r>
        <w:rPr>
          <w:rFonts w:hint="eastAsia" w:ascii="方正小标宋简体" w:hAnsi="宋体" w:eastAsia="方正小标宋简体"/>
          <w:color w:val="000000"/>
          <w:kern w:val="0"/>
          <w:sz w:val="40"/>
          <w:szCs w:val="44"/>
          <w:lang w:val="en-US" w:eastAsia="zh-CN"/>
        </w:rPr>
        <w:t>20</w:t>
      </w:r>
      <w:r>
        <w:rPr>
          <w:rFonts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pStyle w:val="23"/>
        <w:spacing w:line="56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（一）机构组成。</w:t>
      </w:r>
    </w:p>
    <w:p>
      <w:pPr>
        <w:pStyle w:val="23"/>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巴中市中心医院是巴中市财政局社保科对口管理的一级预算拨款定额定项补助单位，无下属二级单位。</w:t>
      </w:r>
    </w:p>
    <w:p>
      <w:pPr>
        <w:pStyle w:val="23"/>
        <w:spacing w:line="560" w:lineRule="exact"/>
        <w:ind w:firstLine="640" w:firstLineChars="200"/>
        <w:rPr>
          <w:rFonts w:hint="eastAsia" w:ascii="仿宋_GB2312" w:eastAsia="仿宋_GB2312"/>
          <w:sz w:val="32"/>
          <w:szCs w:val="32"/>
          <w:lang w:val="zh-CN" w:eastAsia="zh-CN"/>
        </w:rPr>
      </w:pPr>
      <w:r>
        <w:rPr>
          <w:rFonts w:hint="eastAsia" w:ascii="仿宋_GB2312" w:eastAsia="仿宋_GB2312"/>
          <w:sz w:val="32"/>
          <w:szCs w:val="32"/>
          <w:lang w:val="zh-CN" w:eastAsia="zh-CN"/>
        </w:rPr>
        <w:t>（二</w:t>
      </w:r>
      <w:r>
        <w:rPr>
          <w:rFonts w:hint="eastAsia" w:ascii="仿宋_GB2312" w:eastAsia="仿宋_GB2312"/>
          <w:sz w:val="32"/>
          <w:szCs w:val="32"/>
          <w:lang w:val="en-US" w:eastAsia="zh-CN"/>
        </w:rPr>
        <w:t>)</w:t>
      </w:r>
      <w:r>
        <w:rPr>
          <w:rFonts w:hint="eastAsia" w:ascii="仿宋_GB2312" w:eastAsia="仿宋_GB2312"/>
          <w:sz w:val="32"/>
          <w:szCs w:val="32"/>
          <w:lang w:val="zh-CN" w:eastAsia="zh-CN"/>
        </w:rPr>
        <w:t>机构职能。</w:t>
      </w:r>
    </w:p>
    <w:p>
      <w:pPr>
        <w:pStyle w:val="23"/>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巴中市中心医院是集医疗、教学、科研、预防、保健为一体的全市唯一一家三级甲等综合医院。按政府安排承办巴中市中心医院传染病分院、紧急救援中心公共卫生项目。医疗服务对象为巴中市及周边地区人群，还承担全市的突发公共卫生事件的医疗救助工作。</w:t>
      </w:r>
    </w:p>
    <w:p>
      <w:pPr>
        <w:pStyle w:val="23"/>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zh-CN" w:eastAsia="zh-CN"/>
        </w:rPr>
        <w:t>（三）人员概况。</w:t>
      </w:r>
    </w:p>
    <w:p>
      <w:pPr>
        <w:pStyle w:val="23"/>
        <w:spacing w:line="560" w:lineRule="exact"/>
        <w:ind w:firstLine="640" w:firstLineChars="200"/>
        <w:rPr>
          <w:rFonts w:hint="eastAsia" w:ascii="仿宋_GB2312" w:eastAsia="仿宋_GB2312"/>
          <w:sz w:val="32"/>
          <w:szCs w:val="32"/>
          <w:lang w:val="zh-CN" w:eastAsia="zh-CN"/>
        </w:rPr>
      </w:pPr>
      <w:r>
        <w:rPr>
          <w:rFonts w:hint="eastAsia" w:ascii="仿宋_GB2312" w:eastAsia="仿宋_GB2312" w:cs="仿宋_GB2312"/>
          <w:kern w:val="0"/>
          <w:sz w:val="32"/>
          <w:szCs w:val="32"/>
        </w:rPr>
        <w:t>医院现有在职人员</w:t>
      </w:r>
      <w:r>
        <w:rPr>
          <w:rFonts w:hint="eastAsia" w:ascii="仿宋_GB2312" w:eastAsia="仿宋_GB2312" w:cs="仿宋_GB2312"/>
          <w:kern w:val="0"/>
          <w:sz w:val="32"/>
          <w:szCs w:val="32"/>
          <w:lang w:val="en-US" w:eastAsia="zh-CN"/>
        </w:rPr>
        <w:t>1814</w:t>
      </w:r>
      <w:r>
        <w:rPr>
          <w:rFonts w:hint="eastAsia" w:ascii="仿宋_GB2312" w:eastAsia="仿宋_GB2312" w:cs="仿宋_GB2312"/>
          <w:kern w:val="0"/>
          <w:sz w:val="32"/>
          <w:szCs w:val="32"/>
        </w:rPr>
        <w:t>人，其中财政拨款3</w:t>
      </w:r>
      <w:r>
        <w:rPr>
          <w:rFonts w:hint="eastAsia" w:ascii="仿宋_GB2312" w:eastAsia="仿宋_GB2312" w:cs="仿宋_GB2312"/>
          <w:kern w:val="0"/>
          <w:sz w:val="32"/>
          <w:szCs w:val="32"/>
          <w:lang w:val="en-US" w:eastAsia="zh-CN"/>
        </w:rPr>
        <w:t>38</w:t>
      </w:r>
      <w:r>
        <w:rPr>
          <w:rFonts w:hint="eastAsia" w:ascii="仿宋_GB2312" w:eastAsia="仿宋_GB2312" w:cs="仿宋_GB2312"/>
          <w:kern w:val="0"/>
          <w:sz w:val="32"/>
          <w:szCs w:val="32"/>
        </w:rPr>
        <w:t>人,经费自理人数</w:t>
      </w:r>
      <w:r>
        <w:rPr>
          <w:rFonts w:hint="eastAsia" w:ascii="仿宋_GB2312" w:eastAsia="仿宋_GB2312" w:cs="仿宋_GB2312"/>
          <w:kern w:val="0"/>
          <w:sz w:val="32"/>
          <w:szCs w:val="32"/>
          <w:lang w:val="en-US" w:eastAsia="zh-CN"/>
        </w:rPr>
        <w:t>1476</w:t>
      </w:r>
      <w:r>
        <w:rPr>
          <w:rFonts w:hint="eastAsia" w:ascii="仿宋_GB2312" w:eastAsia="仿宋_GB2312" w:cs="仿宋_GB2312"/>
          <w:kern w:val="0"/>
          <w:sz w:val="32"/>
          <w:szCs w:val="32"/>
        </w:rPr>
        <w:t>人。</w:t>
      </w:r>
      <w:r>
        <w:rPr>
          <w:rFonts w:hint="eastAsia" w:ascii="仿宋_GB2312" w:eastAsia="仿宋_GB2312"/>
          <w:sz w:val="32"/>
          <w:szCs w:val="32"/>
          <w:lang w:val="en-US" w:eastAsia="zh-CN"/>
        </w:rPr>
        <w:t>因抗击新冠疫情，我院多个集体及个人受到国家、省、市级表彰。其中，省级以上表彰抗疫先进基层党组织1个、先进集体3个、先进个人4人、最美家庭2个，受到市级表彰先进基层党组织1个、先进集体1个、优秀党务工作者1人、优秀共产党员2人、先进个人10人，院内表扬抗疫先进集体6个、先进个人17人、最美家庭12个。</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pStyle w:val="23"/>
        <w:spacing w:line="560" w:lineRule="exact"/>
        <w:ind w:firstLine="640" w:firstLineChars="200"/>
        <w:rPr>
          <w:rFonts w:hint="eastAsia" w:ascii="仿宋_GB2312" w:eastAsia="仿宋_GB2312"/>
          <w:sz w:val="32"/>
          <w:szCs w:val="32"/>
          <w:lang w:val="zh-CN" w:eastAsia="zh-CN"/>
        </w:rPr>
      </w:pPr>
      <w:r>
        <w:rPr>
          <w:rFonts w:hint="eastAsia" w:ascii="仿宋_GB2312" w:eastAsia="仿宋_GB2312"/>
          <w:sz w:val="32"/>
          <w:szCs w:val="32"/>
          <w:lang w:val="zh-CN" w:eastAsia="zh-CN"/>
        </w:rPr>
        <w:t>（一）部门财政资金收入情况。</w:t>
      </w:r>
    </w:p>
    <w:p>
      <w:pPr>
        <w:pStyle w:val="23"/>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2020年巴中市中心医院财政补助资金</w:t>
      </w:r>
      <w:r>
        <w:rPr>
          <w:rFonts w:hint="eastAsia" w:ascii="仿宋_GB2312" w:eastAsia="仿宋_GB2312" w:cs="仿宋_GB2312"/>
          <w:kern w:val="0"/>
          <w:sz w:val="32"/>
          <w:szCs w:val="32"/>
          <w:lang w:val="en-US" w:eastAsia="zh-CN"/>
        </w:rPr>
        <w:t>6182.34</w:t>
      </w:r>
      <w:r>
        <w:rPr>
          <w:rFonts w:hint="eastAsia" w:ascii="仿宋_GB2312" w:eastAsia="仿宋_GB2312"/>
          <w:sz w:val="32"/>
          <w:szCs w:val="32"/>
          <w:lang w:val="en-US" w:eastAsia="zh-CN"/>
        </w:rPr>
        <w:t>万元，加上年初财政拨款结转的8万元，共计6190.34万元。</w:t>
      </w:r>
    </w:p>
    <w:p>
      <w:pPr>
        <w:pStyle w:val="23"/>
        <w:spacing w:line="560" w:lineRule="exact"/>
        <w:ind w:firstLine="640" w:firstLineChars="200"/>
        <w:rPr>
          <w:rFonts w:hint="eastAsia" w:ascii="仿宋_GB2312" w:eastAsia="仿宋_GB2312"/>
          <w:sz w:val="32"/>
          <w:szCs w:val="32"/>
          <w:lang w:val="zh-CN" w:eastAsia="zh-CN"/>
        </w:rPr>
      </w:pPr>
      <w:r>
        <w:rPr>
          <w:rFonts w:hint="eastAsia" w:ascii="仿宋_GB2312" w:eastAsia="仿宋_GB2312"/>
          <w:sz w:val="32"/>
          <w:szCs w:val="32"/>
          <w:lang w:val="zh-CN" w:eastAsia="zh-CN"/>
        </w:rPr>
        <w:t>（二）部门财政资金支出情况。</w:t>
      </w:r>
    </w:p>
    <w:p>
      <w:pPr>
        <w:spacing w:line="600" w:lineRule="exact"/>
        <w:ind w:firstLine="640"/>
      </w:pPr>
      <w:r>
        <w:rPr>
          <w:rFonts w:hint="eastAsia" w:ascii="仿宋_GB2312" w:eastAsia="仿宋_GB2312" w:cs="仿宋_GB2312"/>
          <w:kern w:val="0"/>
          <w:sz w:val="32"/>
          <w:szCs w:val="32"/>
          <w:lang w:val="en-US" w:eastAsia="zh-CN"/>
        </w:rPr>
        <w:t>2020年财政拨款支出5907.12万元，主要用于以下方面:引进人才费用8万元、综合医院2505万元、基本公共卫生服务19.04万元、重大公共卫生专项443.67万元、突发公共卫生事件应急处理586.67万元、 其他卫生健康支出720.74万元、公共卫生体系建设1222万元、其他抗疫相关支出402万元。</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pStyle w:val="23"/>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（一）部门预算管理。</w:t>
      </w:r>
    </w:p>
    <w:p>
      <w:pPr>
        <w:pStyle w:val="23"/>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本部门按照要求对2020年部门整体支出开展绩效自评，从评价情况来看各绩效项目均完成了产出指标、达到了效益指标、符合满意度指标，本部门还自行组织了1个项目绩效评价。</w:t>
      </w:r>
    </w:p>
    <w:p>
      <w:pPr>
        <w:pStyle w:val="23"/>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（二）结果应用情况。</w:t>
      </w:r>
    </w:p>
    <w:p>
      <w:pPr>
        <w:pStyle w:val="23"/>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对部门整体支出的预算绩效进行自评，对预算执行存在的偏差进行分析，更加科学合理的编制预算并严格执行预算。</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pStyle w:val="23"/>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（一）评价结论。</w:t>
      </w:r>
    </w:p>
    <w:p>
      <w:pPr>
        <w:pStyle w:val="23"/>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对照2020年市级部门整体支出绩效评价指标自评，自评结果为优秀。</w:t>
      </w:r>
    </w:p>
    <w:p>
      <w:pPr>
        <w:pStyle w:val="23"/>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（二）存在问题。</w:t>
      </w:r>
    </w:p>
    <w:p>
      <w:pPr>
        <w:pStyle w:val="23"/>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1、预算管理及内控管理是医院现阶段的薄弱环节，各部门支出随意性较大。大部分临床科室对此不重视。</w:t>
      </w:r>
    </w:p>
    <w:p>
      <w:pPr>
        <w:pStyle w:val="23"/>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2、医院专用设备、广播电影设备、电气设备、计算机设备、办公设备已达到规定折旧年限的数量已超过一半，有更新的需求。</w:t>
      </w:r>
    </w:p>
    <w:p>
      <w:pPr>
        <w:pStyle w:val="23"/>
        <w:spacing w:line="560" w:lineRule="exact"/>
        <w:ind w:firstLine="640" w:firstLineChars="200"/>
        <w:rPr>
          <w:rFonts w:ascii="仿宋" w:hAnsi="仿宋" w:eastAsia="仿宋" w:cs="仿宋_GB2312"/>
          <w:sz w:val="32"/>
          <w:szCs w:val="32"/>
        </w:rPr>
      </w:pPr>
      <w:r>
        <w:rPr>
          <w:rFonts w:hint="eastAsia" w:ascii="仿宋_GB2312" w:eastAsia="仿宋_GB2312"/>
          <w:sz w:val="32"/>
          <w:szCs w:val="32"/>
          <w:lang w:val="zh-CN" w:eastAsia="zh-CN"/>
        </w:rPr>
        <w:t>（三）改进建议。</w:t>
      </w:r>
    </w:p>
    <w:p>
      <w:pPr>
        <w:pStyle w:val="23"/>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1、加强预算管理及内控管理，这不单需要院领导支持、各科室配合才能搞好这一工作，也需要购买现代化的信息化软件来实现。</w:t>
      </w:r>
    </w:p>
    <w:p>
      <w:pPr>
        <w:pStyle w:val="23"/>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2、应加强对固定资产管理，特别是新购入的专用设备的管理，提高固定资产的利用效率。</w:t>
      </w:r>
    </w:p>
    <w:p>
      <w:pPr>
        <w:spacing w:line="600" w:lineRule="exact"/>
        <w:jc w:val="left"/>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pacing w:line="600" w:lineRule="exact"/>
        <w:jc w:val="center"/>
        <w:rPr>
          <w:rFonts w:hint="eastAsia" w:ascii="方正小标宋简体" w:hAnsi="宋体" w:eastAsia="方正小标宋简体"/>
          <w:color w:val="000000"/>
          <w:kern w:val="0"/>
          <w:sz w:val="40"/>
          <w:szCs w:val="44"/>
          <w:lang w:val="en-US" w:eastAsia="zh-CN"/>
        </w:rPr>
      </w:pPr>
      <w:r>
        <w:rPr>
          <w:rFonts w:hint="eastAsia" w:ascii="方正小标宋简体" w:hAnsi="宋体" w:eastAsia="方正小标宋简体"/>
          <w:color w:val="000000"/>
          <w:kern w:val="0"/>
          <w:sz w:val="40"/>
          <w:szCs w:val="44"/>
          <w:lang w:val="en-US" w:eastAsia="zh-CN"/>
        </w:rPr>
        <w:t>巴中市中心医院</w:t>
      </w:r>
    </w:p>
    <w:p>
      <w:pPr>
        <w:spacing w:line="600" w:lineRule="exact"/>
        <w:jc w:val="center"/>
        <w:rPr>
          <w:rFonts w:hint="eastAsia" w:ascii="方正小标宋简体" w:hAnsi="宋体" w:eastAsia="方正小标宋简体"/>
          <w:color w:val="000000"/>
          <w:kern w:val="0"/>
          <w:sz w:val="40"/>
          <w:szCs w:val="44"/>
        </w:rPr>
      </w:pPr>
      <w:r>
        <w:rPr>
          <w:rFonts w:hint="eastAsia" w:ascii="方正小标宋简体" w:hAnsi="宋体" w:eastAsia="方正小标宋简体"/>
          <w:color w:val="000000"/>
          <w:kern w:val="0"/>
          <w:sz w:val="40"/>
          <w:szCs w:val="44"/>
          <w:lang w:eastAsia="zh-CN"/>
        </w:rPr>
        <w:t>抗疫特别国债资金项目</w:t>
      </w:r>
      <w:r>
        <w:rPr>
          <w:rFonts w:hint="eastAsia" w:ascii="方正小标宋简体" w:hAnsi="宋体" w:eastAsia="方正小标宋简体"/>
          <w:color w:val="000000"/>
          <w:kern w:val="0"/>
          <w:sz w:val="40"/>
          <w:szCs w:val="44"/>
        </w:rPr>
        <w:t>2020年度绩效</w:t>
      </w:r>
    </w:p>
    <w:p>
      <w:pPr>
        <w:spacing w:line="600" w:lineRule="exact"/>
        <w:jc w:val="center"/>
        <w:rPr>
          <w:rFonts w:ascii="方正小标宋简体" w:hAnsi="宋体" w:eastAsia="方正小标宋简体"/>
          <w:color w:val="000000"/>
          <w:kern w:val="0"/>
          <w:sz w:val="40"/>
          <w:szCs w:val="44"/>
        </w:rPr>
      </w:pPr>
      <w:r>
        <w:rPr>
          <w:rFonts w:hint="eastAsia" w:ascii="方正小标宋简体" w:hAnsi="宋体" w:eastAsia="方正小标宋简体"/>
          <w:color w:val="000000"/>
          <w:kern w:val="0"/>
          <w:sz w:val="40"/>
          <w:szCs w:val="44"/>
          <w:lang w:eastAsia="zh-CN"/>
        </w:rPr>
        <w:t>评价报告</w:t>
      </w:r>
    </w:p>
    <w:p>
      <w:pPr>
        <w:widowControl/>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lang w:val="zh-CN"/>
        </w:rPr>
        <w:t>一、项目概况</w:t>
      </w:r>
    </w:p>
    <w:p>
      <w:pPr>
        <w:pStyle w:val="23"/>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一</w:t>
      </w:r>
      <w:r>
        <w:rPr>
          <w:rFonts w:hint="eastAsia" w:ascii="仿宋_GB2312" w:hAnsi="仿宋_GB2312" w:eastAsia="仿宋_GB2312" w:cs="仿宋_GB2312"/>
          <w:b w:val="0"/>
          <w:bCs w:val="0"/>
          <w:sz w:val="32"/>
          <w:szCs w:val="32"/>
          <w:lang w:eastAsia="zh-CN"/>
        </w:rPr>
        <w:t>）项目基本情况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Calibri" w:eastAsia="仿宋_GB2312" w:cs="仿宋"/>
          <w:color w:val="000000"/>
          <w:kern w:val="0"/>
          <w:sz w:val="32"/>
          <w:szCs w:val="32"/>
          <w:lang w:val="en-US" w:eastAsia="zh-CN" w:bidi="ar-SA"/>
        </w:rPr>
        <w:t>《财政厅关于下达2020年抗疫特别国债支出预算的通知》（川财债﹝2020﹞43号）下达巴中市中心医院抗疫特别国债资金1624万元，其中：抗疫相关支出402万元；公共卫生体系建设和重大疫情防控救治体系建设1222万元。</w:t>
      </w:r>
    </w:p>
    <w:p>
      <w:pPr>
        <w:pStyle w:val="23"/>
        <w:spacing w:line="56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zh-CN" w:eastAsia="zh-CN"/>
        </w:rPr>
        <w:t>（二）</w:t>
      </w:r>
      <w:r>
        <w:rPr>
          <w:rFonts w:hint="eastAsia" w:ascii="仿宋_GB2312" w:hAnsi="仿宋_GB2312" w:eastAsia="仿宋_GB2312" w:cs="仿宋_GB2312"/>
          <w:b w:val="0"/>
          <w:bCs w:val="0"/>
          <w:sz w:val="32"/>
          <w:szCs w:val="32"/>
          <w:lang w:eastAsia="zh-CN"/>
        </w:rPr>
        <w:t>项目绩效目标</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中央拨付抗疫特别国债资金的绩效目标是为了提升重大疫情防疫救治能力，保障人民群众生命安全，打赢新型冠状病毒感染的肺炎防控攻坚战。</w:t>
      </w:r>
    </w:p>
    <w:p>
      <w:pPr>
        <w:ind w:firstLine="642" w:firstLineChars="200"/>
        <w:rPr>
          <w:rFonts w:hint="eastAsia" w:ascii="黑体" w:hAnsi="黑体" w:eastAsia="黑体" w:cs="黑体"/>
          <w:b/>
          <w:bCs/>
          <w:sz w:val="32"/>
          <w:szCs w:val="32"/>
          <w:lang w:val="zh-CN" w:eastAsia="zh-CN"/>
        </w:rPr>
      </w:pPr>
      <w:r>
        <w:rPr>
          <w:rFonts w:hint="eastAsia" w:ascii="黑体" w:hAnsi="黑体" w:eastAsia="黑体" w:cs="黑体"/>
          <w:b/>
          <w:bCs/>
          <w:sz w:val="32"/>
          <w:szCs w:val="32"/>
          <w:lang w:val="en-US" w:eastAsia="zh-CN"/>
        </w:rPr>
        <w:t>二、项目资金使用情况</w:t>
      </w:r>
      <w:r>
        <w:rPr>
          <w:rFonts w:hint="eastAsia" w:ascii="黑体" w:hAnsi="黑体" w:eastAsia="黑体" w:cs="黑体"/>
          <w:b/>
          <w:bCs/>
          <w:sz w:val="32"/>
          <w:szCs w:val="32"/>
          <w:lang w:val="en-US" w:eastAsia="zh-CN"/>
        </w:rPr>
        <w:tab/>
      </w:r>
    </w:p>
    <w:p>
      <w:pPr>
        <w:ind w:firstLine="640" w:firstLineChars="200"/>
        <w:rPr>
          <w:rFonts w:hint="eastAsia"/>
          <w:sz w:val="30"/>
          <w:szCs w:val="30"/>
          <w:lang w:eastAsia="zh-CN"/>
        </w:rPr>
      </w:pPr>
      <w:r>
        <w:rPr>
          <w:rFonts w:hint="eastAsia" w:ascii="仿宋_GB2312" w:hAnsi="仿宋_GB2312" w:eastAsia="仿宋_GB2312" w:cs="仿宋_GB2312"/>
          <w:sz w:val="32"/>
          <w:szCs w:val="32"/>
          <w:lang w:val="en-US" w:eastAsia="zh-CN"/>
        </w:rPr>
        <w:t>巴中市中心医院收到</w:t>
      </w:r>
      <w:r>
        <w:rPr>
          <w:rFonts w:hint="eastAsia" w:ascii="仿宋_GB2312" w:hAnsi="仿宋_GB2312" w:eastAsia="仿宋_GB2312" w:cs="仿宋_GB2312"/>
          <w:sz w:val="32"/>
          <w:szCs w:val="32"/>
          <w:lang w:eastAsia="zh-CN"/>
        </w:rPr>
        <w:t>抗疫特别国债资金</w:t>
      </w:r>
      <w:r>
        <w:rPr>
          <w:rFonts w:hint="eastAsia" w:ascii="仿宋_GB2312" w:hAnsi="仿宋_GB2312" w:eastAsia="仿宋_GB2312" w:cs="仿宋_GB2312"/>
          <w:sz w:val="32"/>
          <w:szCs w:val="32"/>
          <w:lang w:val="en-US" w:eastAsia="zh-CN"/>
        </w:rPr>
        <w:t>1624</w:t>
      </w:r>
      <w:r>
        <w:rPr>
          <w:rFonts w:hint="eastAsia" w:ascii="仿宋_GB2312" w:hAnsi="仿宋_GB2312" w:eastAsia="仿宋_GB2312" w:cs="仿宋_GB2312"/>
          <w:sz w:val="32"/>
          <w:szCs w:val="32"/>
          <w:lang w:eastAsia="zh-CN"/>
        </w:rPr>
        <w:t>万元。其中：抗疫相关支出项目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个；</w:t>
      </w:r>
      <w:r>
        <w:rPr>
          <w:rFonts w:hint="eastAsia" w:ascii="仿宋_GB2312" w:hAnsi="仿宋_GB2312" w:eastAsia="仿宋_GB2312" w:cs="仿宋_GB2312"/>
          <w:sz w:val="32"/>
          <w:szCs w:val="32"/>
          <w:lang w:val="en-US" w:eastAsia="zh-CN"/>
        </w:rPr>
        <w:t>公共卫生体系建设和重大疫情防控救治体系建设1</w:t>
      </w:r>
      <w:r>
        <w:rPr>
          <w:rFonts w:hint="eastAsia" w:ascii="仿宋_GB2312" w:hAnsi="仿宋_GB2312" w:eastAsia="仿宋_GB2312" w:cs="仿宋_GB2312"/>
          <w:sz w:val="32"/>
          <w:szCs w:val="32"/>
          <w:lang w:eastAsia="zh-CN"/>
        </w:rPr>
        <w:t>个。（</w:t>
      </w:r>
      <w:r>
        <w:rPr>
          <w:rFonts w:hint="eastAsia" w:ascii="仿宋_GB2312" w:hAnsi="仿宋_GB2312" w:eastAsia="仿宋_GB2312" w:cs="仿宋_GB2312"/>
          <w:sz w:val="32"/>
          <w:szCs w:val="32"/>
          <w:lang w:val="en-US" w:eastAsia="zh-CN"/>
        </w:rPr>
        <w:t>按《四川省财政厅关于抗疫特别国债资金使用进度的通报》（川财债函【2020】45号）中“对9月底前仍无法开工或年内抗疫特别国债资金难以使用完毕的项目，允许按政策在领域之间进行调整”的规定，已将“南坝院区核医学楼建设”项目抗疫特别国债资金1222万元，调整为我院“抗疫专用设备和物资储备购置”项目支出，原项目已支出的57014元抵扣公立医院运转经费），资金全部使用完毕。</w:t>
      </w:r>
    </w:p>
    <w:p>
      <w:pPr>
        <w:ind w:firstLine="602" w:firstLineChars="200"/>
        <w:jc w:val="both"/>
        <w:rPr>
          <w:rFonts w:hint="eastAsia" w:ascii="黑体" w:hAnsi="黑体" w:eastAsia="黑体" w:cs="黑体"/>
          <w:b/>
          <w:bCs/>
          <w:sz w:val="30"/>
          <w:szCs w:val="30"/>
        </w:rPr>
      </w:pPr>
      <w:r>
        <w:rPr>
          <w:rFonts w:hint="eastAsia" w:ascii="黑体" w:hAnsi="黑体" w:eastAsia="黑体" w:cs="黑体"/>
          <w:b/>
          <w:bCs/>
          <w:sz w:val="30"/>
          <w:szCs w:val="30"/>
          <w:lang w:eastAsia="zh-CN"/>
        </w:rPr>
        <w:t>三、</w:t>
      </w:r>
      <w:r>
        <w:rPr>
          <w:rFonts w:hint="eastAsia" w:ascii="黑体" w:hAnsi="黑体" w:eastAsia="黑体" w:cs="黑体"/>
          <w:b/>
          <w:bCs/>
          <w:sz w:val="30"/>
          <w:szCs w:val="30"/>
        </w:rPr>
        <w:t>总体绩效目标完成情况</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巴中市中心医院抗疫特别国债资金的决策依据充分，绩效目标明确，组织实施有序，取得了较好的社会效益，所购置的医疗设备防护用品等为完成控制疫情，及时发现新冠病毒感染病例，全面</w:t>
      </w:r>
      <w:r>
        <w:rPr>
          <w:rFonts w:hint="eastAsia" w:ascii="仿宋_GB2312" w:hAnsi="宋体" w:eastAsia="仿宋_GB2312" w:cs="Times New Roman"/>
          <w:kern w:val="2"/>
          <w:sz w:val="32"/>
          <w:szCs w:val="32"/>
          <w:lang w:val="en-US" w:eastAsia="zh-CN" w:bidi="ar-SA"/>
        </w:rPr>
        <w:t>提供有效救治，保护人民生命安全，有重大意义。</w:t>
      </w:r>
    </w:p>
    <w:p>
      <w:pPr>
        <w:ind w:firstLine="600" w:firstLineChars="200"/>
        <w:rPr>
          <w:rFonts w:hint="eastAsia" w:ascii="黑体" w:hAnsi="黑体" w:eastAsia="黑体" w:cs="黑体"/>
          <w:bCs/>
          <w:sz w:val="30"/>
          <w:szCs w:val="30"/>
          <w:lang w:eastAsia="zh-CN"/>
        </w:rPr>
      </w:pPr>
      <w:r>
        <w:rPr>
          <w:rFonts w:hint="eastAsia" w:ascii="黑体" w:hAnsi="黑体" w:eastAsia="黑体" w:cs="黑体"/>
          <w:bCs/>
          <w:sz w:val="30"/>
          <w:szCs w:val="30"/>
          <w:lang w:eastAsia="zh-CN"/>
        </w:rPr>
        <w:t>四</w:t>
      </w:r>
      <w:r>
        <w:rPr>
          <w:rFonts w:hint="eastAsia" w:ascii="黑体" w:hAnsi="黑体" w:eastAsia="黑体" w:cs="黑体"/>
          <w:bCs/>
          <w:sz w:val="30"/>
          <w:szCs w:val="30"/>
        </w:rPr>
        <w:t>、</w:t>
      </w:r>
      <w:r>
        <w:rPr>
          <w:rFonts w:hint="eastAsia" w:ascii="黑体" w:hAnsi="黑体" w:eastAsia="黑体" w:cs="黑体"/>
          <w:bCs/>
          <w:sz w:val="30"/>
          <w:szCs w:val="30"/>
          <w:lang w:eastAsia="zh-CN"/>
        </w:rPr>
        <w:t>评价结论</w:t>
      </w:r>
    </w:p>
    <w:p>
      <w:pPr>
        <w:spacing w:line="60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总体绩效目标和绩效指标完成</w:t>
      </w:r>
      <w:r>
        <w:rPr>
          <w:rFonts w:hint="eastAsia" w:ascii="仿宋_GB2312" w:hAnsi="仿宋_GB2312" w:eastAsia="仿宋_GB2312" w:cs="仿宋_GB2312"/>
          <w:b w:val="0"/>
          <w:bCs w:val="0"/>
          <w:sz w:val="32"/>
          <w:szCs w:val="32"/>
          <w:lang w:eastAsia="zh-CN"/>
        </w:rPr>
        <w:t>较好，</w:t>
      </w:r>
      <w:r>
        <w:rPr>
          <w:rFonts w:hint="eastAsia" w:ascii="仿宋_GB2312" w:hAnsi="仿宋_GB2312" w:eastAsia="仿宋_GB2312" w:cs="仿宋_GB2312"/>
          <w:b w:val="0"/>
          <w:bCs w:val="0"/>
          <w:sz w:val="32"/>
          <w:szCs w:val="32"/>
          <w:lang w:val="en-US" w:eastAsia="zh-CN"/>
        </w:rPr>
        <w:t>执行进度达到100%。</w:t>
      </w:r>
      <w:r>
        <w:rPr>
          <w:rFonts w:hint="eastAsia" w:ascii="仿宋_GB2312" w:hAnsi="仿宋_GB2312" w:eastAsia="仿宋_GB2312" w:cs="仿宋_GB2312"/>
          <w:b w:val="0"/>
          <w:bCs w:val="0"/>
          <w:sz w:val="32"/>
          <w:szCs w:val="32"/>
        </w:rPr>
        <w:t>直达资金系统中录入的抗疫特别国债支出数据及时准确、真实可靠；抗疫特别国债资金</w:t>
      </w:r>
      <w:r>
        <w:rPr>
          <w:rFonts w:hint="eastAsia" w:ascii="仿宋_GB2312" w:hAnsi="仿宋_GB2312" w:eastAsia="仿宋_GB2312" w:cs="仿宋_GB2312"/>
          <w:b w:val="0"/>
          <w:bCs w:val="0"/>
          <w:sz w:val="32"/>
          <w:szCs w:val="32"/>
          <w:lang w:eastAsia="zh-CN"/>
        </w:rPr>
        <w:t>不</w:t>
      </w:r>
      <w:r>
        <w:rPr>
          <w:rFonts w:hint="eastAsia" w:ascii="仿宋_GB2312" w:hAnsi="仿宋_GB2312" w:eastAsia="仿宋_GB2312" w:cs="仿宋_GB2312"/>
          <w:b w:val="0"/>
          <w:bCs w:val="0"/>
          <w:sz w:val="32"/>
          <w:szCs w:val="32"/>
        </w:rPr>
        <w:t>存在以拨代支、虚列支出、超进度拨款，违规拨付给政府融资平台公司等问题</w:t>
      </w:r>
      <w:r>
        <w:rPr>
          <w:rFonts w:hint="eastAsia" w:ascii="仿宋_GB2312" w:hAnsi="仿宋_GB2312" w:eastAsia="仿宋_GB2312" w:cs="仿宋_GB2312"/>
          <w:b w:val="0"/>
          <w:bCs w:val="0"/>
          <w:sz w:val="32"/>
          <w:szCs w:val="32"/>
          <w:lang w:eastAsia="zh-CN"/>
        </w:rPr>
        <w:t>。</w:t>
      </w:r>
    </w:p>
    <w:p>
      <w:pPr>
        <w:spacing w:line="600" w:lineRule="exact"/>
        <w:rPr>
          <w:rFonts w:hint="eastAsia" w:ascii="仿宋_GB2312" w:hAnsi="仿宋_GB2312" w:eastAsia="仿宋_GB2312" w:cs="仿宋_GB2312"/>
          <w:b w:val="0"/>
          <w:bCs w:val="0"/>
          <w:sz w:val="32"/>
          <w:szCs w:val="32"/>
          <w:lang w:eastAsia="zh-CN"/>
        </w:rPr>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numPr>
          <w:ilvl w:val="0"/>
          <w:numId w:val="6"/>
        </w:numPr>
        <w:spacing w:line="600" w:lineRule="exact"/>
        <w:ind w:firstLine="2640" w:firstLineChars="600"/>
        <w:jc w:val="both"/>
        <w:outlineLvl w:val="0"/>
        <w:rPr>
          <w:rStyle w:val="25"/>
          <w:rFonts w:hint="eastAsia" w:ascii="黑体" w:hAnsi="黑体" w:eastAsia="黑体"/>
          <w:b w:val="0"/>
          <w:lang w:eastAsia="zh-CN"/>
        </w:rPr>
      </w:pPr>
      <w:bookmarkStart w:id="56" w:name="_Toc15396618"/>
      <w:r>
        <w:rPr>
          <w:rStyle w:val="25"/>
          <w:rFonts w:hint="eastAsia" w:ascii="黑体" w:hAnsi="黑体" w:eastAsia="黑体"/>
          <w:b w:val="0"/>
        </w:rPr>
        <w:t>分 附</w:t>
      </w:r>
      <w:bookmarkEnd w:id="55"/>
      <w:bookmarkEnd w:id="56"/>
      <w:r>
        <w:rPr>
          <w:rStyle w:val="25"/>
          <w:rFonts w:hint="eastAsia" w:ascii="黑体" w:hAnsi="黑体" w:eastAsia="黑体"/>
          <w:b w:val="0"/>
          <w:lang w:eastAsia="zh-CN"/>
        </w:rPr>
        <w:t>表</w:t>
      </w:r>
      <w:bookmarkStart w:id="57" w:name="_Toc15396619"/>
    </w:p>
    <w:p>
      <w:pPr>
        <w:pStyle w:val="3"/>
        <w:rPr>
          <w:rStyle w:val="26"/>
          <w:rFonts w:hint="eastAsia" w:ascii="仿宋" w:hAnsi="仿宋" w:eastAsia="仿宋"/>
          <w:b w:val="0"/>
          <w:bCs w:val="0"/>
        </w:rPr>
      </w:pPr>
      <w:r>
        <w:rPr>
          <w:rStyle w:val="26"/>
          <w:rFonts w:hint="eastAsia" w:ascii="仿宋" w:hAnsi="仿宋" w:eastAsia="仿宋"/>
          <w:b w:val="0"/>
          <w:bCs w:val="0"/>
        </w:rPr>
        <w:t>一、收入支出决算总表</w:t>
      </w:r>
      <w:bookmarkEnd w:id="57"/>
    </w:p>
    <w:p>
      <w:pPr>
        <w:pStyle w:val="3"/>
        <w:rPr>
          <w:rFonts w:ascii="仿宋" w:hAnsi="仿宋" w:eastAsia="仿宋"/>
          <w:color w:val="000000"/>
        </w:rPr>
      </w:pPr>
      <w:bookmarkStart w:id="58" w:name="_Toc15396620"/>
      <w:r>
        <w:rPr>
          <w:rFonts w:hint="eastAsia" w:ascii="仿宋" w:hAnsi="仿宋" w:eastAsia="仿宋"/>
          <w:b w:val="0"/>
          <w:color w:val="000000"/>
        </w:rPr>
        <w:t>二、收</w:t>
      </w:r>
      <w:r>
        <w:rPr>
          <w:rStyle w:val="26"/>
          <w:rFonts w:hint="eastAsia" w:ascii="仿宋" w:hAnsi="仿宋" w:eastAsia="仿宋"/>
          <w:b w:val="0"/>
          <w:bCs w:val="0"/>
        </w:rPr>
        <w:t>入决算表</w:t>
      </w:r>
      <w:bookmarkEnd w:id="58"/>
    </w:p>
    <w:p>
      <w:pPr>
        <w:pStyle w:val="3"/>
        <w:rPr>
          <w:rFonts w:ascii="仿宋" w:hAnsi="仿宋" w:eastAsia="仿宋"/>
          <w:color w:val="000000"/>
        </w:rPr>
      </w:pPr>
      <w:bookmarkStart w:id="59"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59"/>
    </w:p>
    <w:p>
      <w:pPr>
        <w:pStyle w:val="3"/>
        <w:rPr>
          <w:rFonts w:ascii="仿宋" w:hAnsi="仿宋" w:eastAsia="仿宋"/>
          <w:b w:val="0"/>
          <w:color w:val="000000"/>
        </w:rPr>
      </w:pPr>
      <w:bookmarkStart w:id="60"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0"/>
    </w:p>
    <w:p>
      <w:pPr>
        <w:pStyle w:val="3"/>
        <w:rPr>
          <w:rStyle w:val="26"/>
          <w:rFonts w:ascii="仿宋" w:hAnsi="仿宋" w:eastAsia="仿宋"/>
          <w:b w:val="0"/>
          <w:bCs w:val="0"/>
        </w:rPr>
      </w:pPr>
      <w:bookmarkStart w:id="61"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bookmarkEnd w:id="61"/>
      <w:bookmarkStart w:id="62" w:name="_Toc15396624"/>
    </w:p>
    <w:p>
      <w:pPr>
        <w:pStyle w:val="3"/>
        <w:rPr>
          <w:rFonts w:ascii="仿宋" w:hAnsi="仿宋" w:eastAsia="仿宋"/>
          <w:color w:val="000000"/>
        </w:rPr>
      </w:pPr>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2"/>
    </w:p>
    <w:p>
      <w:pPr>
        <w:pStyle w:val="3"/>
        <w:rPr>
          <w:rFonts w:ascii="仿宋" w:hAnsi="仿宋" w:eastAsia="仿宋"/>
          <w:color w:val="000000"/>
        </w:rPr>
      </w:pPr>
      <w:bookmarkStart w:id="63"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3"/>
    </w:p>
    <w:p>
      <w:pPr>
        <w:pStyle w:val="3"/>
        <w:rPr>
          <w:rFonts w:ascii="仿宋" w:hAnsi="仿宋" w:eastAsia="仿宋"/>
          <w:color w:val="000000"/>
        </w:rPr>
      </w:pPr>
      <w:bookmarkStart w:id="64"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4"/>
    </w:p>
    <w:p>
      <w:pPr>
        <w:pStyle w:val="3"/>
        <w:rPr>
          <w:rFonts w:ascii="仿宋" w:hAnsi="仿宋" w:eastAsia="仿宋"/>
          <w:color w:val="000000"/>
        </w:rPr>
      </w:pPr>
      <w:bookmarkStart w:id="65"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65"/>
    </w:p>
    <w:p>
      <w:pPr>
        <w:pStyle w:val="3"/>
        <w:rPr>
          <w:rFonts w:ascii="仿宋" w:hAnsi="仿宋" w:eastAsia="仿宋"/>
          <w:color w:val="000000"/>
        </w:rPr>
      </w:pPr>
      <w:bookmarkStart w:id="66"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66"/>
    </w:p>
    <w:p>
      <w:pPr>
        <w:pStyle w:val="3"/>
        <w:rPr>
          <w:rFonts w:ascii="仿宋" w:hAnsi="仿宋" w:eastAsia="仿宋"/>
          <w:color w:val="000000"/>
        </w:rPr>
      </w:pPr>
      <w:bookmarkStart w:id="67"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67"/>
    </w:p>
    <w:p>
      <w:pPr>
        <w:pStyle w:val="3"/>
        <w:rPr>
          <w:rFonts w:ascii="仿宋" w:hAnsi="仿宋" w:eastAsia="仿宋"/>
          <w:color w:val="000000"/>
        </w:rPr>
      </w:pPr>
      <w:bookmarkStart w:id="68"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68"/>
    </w:p>
    <w:p>
      <w:pPr>
        <w:pStyle w:val="11"/>
        <w:adjustRightInd w:val="0"/>
        <w:snapToGrid w:val="0"/>
        <w:spacing w:line="440" w:lineRule="exact"/>
        <w:ind w:left="0" w:leftChars="0" w:firstLine="0" w:firstLineChars="0"/>
        <w:jc w:val="left"/>
        <w:rPr>
          <w:rStyle w:val="26"/>
          <w:rFonts w:hint="eastAsia" w:ascii="仿宋" w:hAnsi="仿宋" w:eastAsia="仿宋"/>
          <w:b w:val="0"/>
          <w:bCs w:val="0"/>
          <w:lang w:val="en-US" w:eastAsia="zh-CN" w:bidi="ar-SA"/>
        </w:rPr>
      </w:pPr>
      <w:r>
        <w:rPr>
          <w:rStyle w:val="26"/>
          <w:rFonts w:hint="eastAsia" w:ascii="仿宋" w:hAnsi="仿宋" w:eastAsia="仿宋"/>
          <w:b w:val="0"/>
          <w:bCs w:val="0"/>
          <w:lang w:val="en-US" w:eastAsia="zh-CN" w:bidi="ar-SA"/>
        </w:rPr>
        <w:t>十三、国有资本经营预算财政拨款收入支出决算表</w:t>
      </w:r>
    </w:p>
    <w:p>
      <w:pPr>
        <w:pStyle w:val="11"/>
        <w:adjustRightInd w:val="0"/>
        <w:snapToGrid w:val="0"/>
        <w:spacing w:line="440" w:lineRule="exact"/>
        <w:ind w:left="0" w:leftChars="0" w:firstLine="0" w:firstLineChars="0"/>
        <w:jc w:val="left"/>
        <w:rPr>
          <w:rStyle w:val="26"/>
          <w:rFonts w:hint="eastAsia" w:ascii="仿宋" w:hAnsi="仿宋" w:eastAsia="仿宋"/>
          <w:b w:val="0"/>
          <w:bCs w:val="0"/>
          <w:lang w:val="en-US" w:eastAsia="zh-CN" w:bidi="ar-SA"/>
        </w:rPr>
      </w:pPr>
    </w:p>
    <w:p>
      <w:pPr>
        <w:pStyle w:val="11"/>
        <w:adjustRightInd w:val="0"/>
        <w:snapToGrid w:val="0"/>
        <w:spacing w:line="440" w:lineRule="exact"/>
        <w:ind w:left="0" w:leftChars="0" w:firstLine="0" w:firstLineChars="0"/>
        <w:jc w:val="left"/>
        <w:rPr>
          <w:rStyle w:val="26"/>
          <w:rFonts w:hint="eastAsia" w:ascii="仿宋" w:hAnsi="仿宋" w:eastAsia="仿宋"/>
          <w:b w:val="0"/>
          <w:bCs w:val="0"/>
          <w:lang w:val="en-US" w:eastAsia="zh-CN" w:bidi="ar-SA"/>
        </w:rPr>
      </w:pPr>
      <w:r>
        <w:rPr>
          <w:rStyle w:val="26"/>
          <w:rFonts w:hint="eastAsia" w:ascii="仿宋" w:hAnsi="仿宋" w:eastAsia="仿宋"/>
          <w:b w:val="0"/>
          <w:bCs w:val="0"/>
          <w:lang w:val="en-US" w:eastAsia="zh-CN" w:bidi="ar-SA"/>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5F72A0CF"/>
    <w:multiLevelType w:val="singleLevel"/>
    <w:tmpl w:val="5F72A0CF"/>
    <w:lvl w:ilvl="0" w:tentative="0">
      <w:start w:val="4"/>
      <w:numFmt w:val="chineseCounting"/>
      <w:suff w:val="nothing"/>
      <w:lvlText w:val="%1、"/>
      <w:lvlJc w:val="left"/>
    </w:lvl>
  </w:abstractNum>
  <w:abstractNum w:abstractNumId="4">
    <w:nsid w:val="5F72BB72"/>
    <w:multiLevelType w:val="singleLevel"/>
    <w:tmpl w:val="5F72BB72"/>
    <w:lvl w:ilvl="0" w:tentative="0">
      <w:start w:val="1"/>
      <w:numFmt w:val="decimal"/>
      <w:lvlText w:val="%1."/>
      <w:lvlJc w:val="left"/>
      <w:pPr>
        <w:tabs>
          <w:tab w:val="left" w:pos="312"/>
        </w:tabs>
      </w:pPr>
    </w:lvl>
  </w:abstractNum>
  <w:abstractNum w:abstractNumId="5">
    <w:nsid w:val="61381A98"/>
    <w:multiLevelType w:val="singleLevel"/>
    <w:tmpl w:val="61381A98"/>
    <w:lvl w:ilvl="0" w:tentative="0">
      <w:start w:val="5"/>
      <w:numFmt w:val="chineseCounting"/>
      <w:suff w:val="nothing"/>
      <w:lvlText w:val="第%1部"/>
      <w:lvlJc w:val="left"/>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35CC7"/>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17348"/>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0C4F"/>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1453FA"/>
    <w:rsid w:val="01212A54"/>
    <w:rsid w:val="01B767DE"/>
    <w:rsid w:val="01C54885"/>
    <w:rsid w:val="01D72ED7"/>
    <w:rsid w:val="02D33065"/>
    <w:rsid w:val="03353552"/>
    <w:rsid w:val="03B9518C"/>
    <w:rsid w:val="04B15628"/>
    <w:rsid w:val="04D05755"/>
    <w:rsid w:val="056F1AF6"/>
    <w:rsid w:val="058475BB"/>
    <w:rsid w:val="05BB75CA"/>
    <w:rsid w:val="062B2230"/>
    <w:rsid w:val="07833173"/>
    <w:rsid w:val="09DD261D"/>
    <w:rsid w:val="0A3F7927"/>
    <w:rsid w:val="0B3F6E9D"/>
    <w:rsid w:val="0B44570B"/>
    <w:rsid w:val="0B6D081E"/>
    <w:rsid w:val="0BE56B64"/>
    <w:rsid w:val="0C0F47D1"/>
    <w:rsid w:val="0C7F0479"/>
    <w:rsid w:val="0CC8203A"/>
    <w:rsid w:val="0D0C70D9"/>
    <w:rsid w:val="0D437758"/>
    <w:rsid w:val="0D447BF7"/>
    <w:rsid w:val="0D55575D"/>
    <w:rsid w:val="0DC273AE"/>
    <w:rsid w:val="0DC42D22"/>
    <w:rsid w:val="0E491836"/>
    <w:rsid w:val="0E647132"/>
    <w:rsid w:val="0E6E27FA"/>
    <w:rsid w:val="0E750B58"/>
    <w:rsid w:val="0EBD354E"/>
    <w:rsid w:val="0FAD6491"/>
    <w:rsid w:val="0FD139A5"/>
    <w:rsid w:val="10C055FF"/>
    <w:rsid w:val="10E330F1"/>
    <w:rsid w:val="10FE6AD6"/>
    <w:rsid w:val="111F38E1"/>
    <w:rsid w:val="11934EAD"/>
    <w:rsid w:val="11EB14D7"/>
    <w:rsid w:val="12631D0E"/>
    <w:rsid w:val="13BC55FE"/>
    <w:rsid w:val="13D0347A"/>
    <w:rsid w:val="14342BB5"/>
    <w:rsid w:val="14646AC4"/>
    <w:rsid w:val="14873F74"/>
    <w:rsid w:val="14DF487B"/>
    <w:rsid w:val="15501576"/>
    <w:rsid w:val="15E761A6"/>
    <w:rsid w:val="1669131B"/>
    <w:rsid w:val="16BB723D"/>
    <w:rsid w:val="16F903A1"/>
    <w:rsid w:val="16F970C7"/>
    <w:rsid w:val="175E78B4"/>
    <w:rsid w:val="17A939E8"/>
    <w:rsid w:val="18C103B8"/>
    <w:rsid w:val="18D52FE6"/>
    <w:rsid w:val="19500752"/>
    <w:rsid w:val="196709E7"/>
    <w:rsid w:val="19DF17B5"/>
    <w:rsid w:val="1ACE3491"/>
    <w:rsid w:val="1B4F5100"/>
    <w:rsid w:val="1BDB3CD8"/>
    <w:rsid w:val="1C38534B"/>
    <w:rsid w:val="1CCC4FC3"/>
    <w:rsid w:val="1D0A0D87"/>
    <w:rsid w:val="1E32537A"/>
    <w:rsid w:val="1E892FF7"/>
    <w:rsid w:val="1EBB665D"/>
    <w:rsid w:val="204835A1"/>
    <w:rsid w:val="213D1067"/>
    <w:rsid w:val="21514F7C"/>
    <w:rsid w:val="219F580A"/>
    <w:rsid w:val="22183C48"/>
    <w:rsid w:val="222253DF"/>
    <w:rsid w:val="22B10840"/>
    <w:rsid w:val="23F91296"/>
    <w:rsid w:val="240371BF"/>
    <w:rsid w:val="25894FE5"/>
    <w:rsid w:val="258C76E1"/>
    <w:rsid w:val="2662512E"/>
    <w:rsid w:val="269D46D8"/>
    <w:rsid w:val="26DD1134"/>
    <w:rsid w:val="273306B2"/>
    <w:rsid w:val="27566033"/>
    <w:rsid w:val="275726A9"/>
    <w:rsid w:val="27601028"/>
    <w:rsid w:val="27A25774"/>
    <w:rsid w:val="27D67F9F"/>
    <w:rsid w:val="289B12D1"/>
    <w:rsid w:val="289B1A0B"/>
    <w:rsid w:val="29080E4B"/>
    <w:rsid w:val="294739D0"/>
    <w:rsid w:val="297A4E58"/>
    <w:rsid w:val="29901D8F"/>
    <w:rsid w:val="29FD04D3"/>
    <w:rsid w:val="2DE6389B"/>
    <w:rsid w:val="2E6C1E27"/>
    <w:rsid w:val="2ECE59BF"/>
    <w:rsid w:val="2FA564C3"/>
    <w:rsid w:val="309E7DE6"/>
    <w:rsid w:val="3119107C"/>
    <w:rsid w:val="319F7F4E"/>
    <w:rsid w:val="31B142CC"/>
    <w:rsid w:val="331B5954"/>
    <w:rsid w:val="33810E4E"/>
    <w:rsid w:val="344E7436"/>
    <w:rsid w:val="346D3EBA"/>
    <w:rsid w:val="348D6091"/>
    <w:rsid w:val="34A4214B"/>
    <w:rsid w:val="35115886"/>
    <w:rsid w:val="35505E7A"/>
    <w:rsid w:val="355963C8"/>
    <w:rsid w:val="358B6666"/>
    <w:rsid w:val="35AC71DA"/>
    <w:rsid w:val="35DC5F70"/>
    <w:rsid w:val="36B64A32"/>
    <w:rsid w:val="38440AF2"/>
    <w:rsid w:val="38F72F46"/>
    <w:rsid w:val="393C28E5"/>
    <w:rsid w:val="39DB5868"/>
    <w:rsid w:val="3A6A4D96"/>
    <w:rsid w:val="3B09079C"/>
    <w:rsid w:val="3BF879E7"/>
    <w:rsid w:val="3D3B0AE3"/>
    <w:rsid w:val="3DDF0C4A"/>
    <w:rsid w:val="3E265DA3"/>
    <w:rsid w:val="3E390BBB"/>
    <w:rsid w:val="3E6D173B"/>
    <w:rsid w:val="3EC9235C"/>
    <w:rsid w:val="3F207DEE"/>
    <w:rsid w:val="3FA72D26"/>
    <w:rsid w:val="3FDA22AC"/>
    <w:rsid w:val="3FF53A2D"/>
    <w:rsid w:val="40EC4DE5"/>
    <w:rsid w:val="41324E7C"/>
    <w:rsid w:val="420A00BC"/>
    <w:rsid w:val="42757712"/>
    <w:rsid w:val="42B428F3"/>
    <w:rsid w:val="42C77D59"/>
    <w:rsid w:val="42F75359"/>
    <w:rsid w:val="4339087F"/>
    <w:rsid w:val="436A7692"/>
    <w:rsid w:val="439C3283"/>
    <w:rsid w:val="441A2721"/>
    <w:rsid w:val="444C3605"/>
    <w:rsid w:val="44647EBC"/>
    <w:rsid w:val="45066306"/>
    <w:rsid w:val="453F2AD4"/>
    <w:rsid w:val="45C71F68"/>
    <w:rsid w:val="46122AE0"/>
    <w:rsid w:val="46443393"/>
    <w:rsid w:val="46884992"/>
    <w:rsid w:val="46B42746"/>
    <w:rsid w:val="474D10AD"/>
    <w:rsid w:val="479F78F9"/>
    <w:rsid w:val="485F2761"/>
    <w:rsid w:val="487D15BC"/>
    <w:rsid w:val="49417726"/>
    <w:rsid w:val="49C42C21"/>
    <w:rsid w:val="49CD7E80"/>
    <w:rsid w:val="49D00226"/>
    <w:rsid w:val="4A297D1D"/>
    <w:rsid w:val="4A397212"/>
    <w:rsid w:val="4B082675"/>
    <w:rsid w:val="4B391B50"/>
    <w:rsid w:val="4B527FD0"/>
    <w:rsid w:val="4B871730"/>
    <w:rsid w:val="4BBD7E94"/>
    <w:rsid w:val="4C394391"/>
    <w:rsid w:val="4C5226CF"/>
    <w:rsid w:val="4D7B083D"/>
    <w:rsid w:val="4DE85807"/>
    <w:rsid w:val="4E36343C"/>
    <w:rsid w:val="4E484C1B"/>
    <w:rsid w:val="4E7122F8"/>
    <w:rsid w:val="4ECE2238"/>
    <w:rsid w:val="4F323FC3"/>
    <w:rsid w:val="4FCF37AE"/>
    <w:rsid w:val="50450C87"/>
    <w:rsid w:val="52942C5F"/>
    <w:rsid w:val="529757A3"/>
    <w:rsid w:val="52BE5B67"/>
    <w:rsid w:val="52C767D4"/>
    <w:rsid w:val="52CC63AB"/>
    <w:rsid w:val="5343637B"/>
    <w:rsid w:val="534F44A0"/>
    <w:rsid w:val="537735F0"/>
    <w:rsid w:val="53D71C33"/>
    <w:rsid w:val="54462E7E"/>
    <w:rsid w:val="54684B65"/>
    <w:rsid w:val="549635BC"/>
    <w:rsid w:val="54994EF4"/>
    <w:rsid w:val="54E01FD7"/>
    <w:rsid w:val="559C6F94"/>
    <w:rsid w:val="55EF4BD7"/>
    <w:rsid w:val="56D40AFD"/>
    <w:rsid w:val="56ED180A"/>
    <w:rsid w:val="574557C3"/>
    <w:rsid w:val="57603170"/>
    <w:rsid w:val="583D639A"/>
    <w:rsid w:val="59B419FA"/>
    <w:rsid w:val="5A185400"/>
    <w:rsid w:val="5A423123"/>
    <w:rsid w:val="5BEA2EA6"/>
    <w:rsid w:val="5C5A341C"/>
    <w:rsid w:val="5CB84872"/>
    <w:rsid w:val="5CFD774D"/>
    <w:rsid w:val="5D94604F"/>
    <w:rsid w:val="5DA57AF5"/>
    <w:rsid w:val="5DE5703D"/>
    <w:rsid w:val="5E9A633A"/>
    <w:rsid w:val="616823CF"/>
    <w:rsid w:val="624D1D9C"/>
    <w:rsid w:val="62E22141"/>
    <w:rsid w:val="63263084"/>
    <w:rsid w:val="639A22F7"/>
    <w:rsid w:val="64D95B7C"/>
    <w:rsid w:val="67A15A1D"/>
    <w:rsid w:val="67CA6D20"/>
    <w:rsid w:val="68191CDE"/>
    <w:rsid w:val="683F2DE0"/>
    <w:rsid w:val="68EF19FE"/>
    <w:rsid w:val="69465691"/>
    <w:rsid w:val="69A8760D"/>
    <w:rsid w:val="69C51B04"/>
    <w:rsid w:val="69F1063B"/>
    <w:rsid w:val="69F24510"/>
    <w:rsid w:val="6AB0610F"/>
    <w:rsid w:val="6ABD5A5F"/>
    <w:rsid w:val="6B2D4054"/>
    <w:rsid w:val="6B8E04AA"/>
    <w:rsid w:val="6BA3496F"/>
    <w:rsid w:val="6D98782B"/>
    <w:rsid w:val="6EEF68C3"/>
    <w:rsid w:val="6F5275A4"/>
    <w:rsid w:val="6F8E5969"/>
    <w:rsid w:val="70775163"/>
    <w:rsid w:val="70991CB6"/>
    <w:rsid w:val="70C7378C"/>
    <w:rsid w:val="71422BE3"/>
    <w:rsid w:val="71944BD3"/>
    <w:rsid w:val="71DB1A7D"/>
    <w:rsid w:val="72734D90"/>
    <w:rsid w:val="72C755DC"/>
    <w:rsid w:val="732A7587"/>
    <w:rsid w:val="749132EE"/>
    <w:rsid w:val="75230E5F"/>
    <w:rsid w:val="75911D71"/>
    <w:rsid w:val="76791C1E"/>
    <w:rsid w:val="76BD7F01"/>
    <w:rsid w:val="77DD1491"/>
    <w:rsid w:val="7AC53950"/>
    <w:rsid w:val="7B3B1028"/>
    <w:rsid w:val="7B6E7F5F"/>
    <w:rsid w:val="7B773F26"/>
    <w:rsid w:val="7B830405"/>
    <w:rsid w:val="7C0B0BCF"/>
    <w:rsid w:val="7C8D1508"/>
    <w:rsid w:val="7CE73BF4"/>
    <w:rsid w:val="7D5D445B"/>
    <w:rsid w:val="7D6720DB"/>
    <w:rsid w:val="7D836995"/>
    <w:rsid w:val="7DFB6343"/>
    <w:rsid w:val="7E283E19"/>
    <w:rsid w:val="7E755D94"/>
    <w:rsid w:val="7E9E7578"/>
    <w:rsid w:val="7EE26C0E"/>
    <w:rsid w:val="7EFF24C0"/>
    <w:rsid w:val="7F67794C"/>
    <w:rsid w:val="9FBEF99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Documents%20and%20Settings\Administrator\&#26700;&#38754;\kes.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Documents%20and%20Settings\Administrator\&#26700;&#38754;\kes.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Documents%20and%20Settings\Administrator\&#26700;&#38754;\kes.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Documents%20and%20Settings\Administrator\&#26700;&#38754;\k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1.</a:t>
            </a:r>
            <a:r>
              <a:rPr altLang="en-US"/>
              <a:t>收入支出决算变动情况图</a:t>
            </a:r>
            <a:endParaRPr altLang="en-US"/>
          </a:p>
          <a:p>
            <a:pPr defTabSz="914400">
              <a:defRPr lang="zh-CN" sz="1400" b="0" i="0" u="none" strike="noStrike" kern="1200" spc="0" baseline="0">
                <a:solidFill>
                  <a:schemeClr val="tx1">
                    <a:lumMod val="65000"/>
                    <a:lumOff val="35000"/>
                  </a:schemeClr>
                </a:solidFill>
                <a:latin typeface="+mn-lt"/>
                <a:ea typeface="+mn-ea"/>
                <a:cs typeface="+mn-cs"/>
              </a:defRPr>
            </a:pPr>
            <a:r>
              <a:rPr altLang="en-US"/>
              <a:t>                                                单位：万元</a:t>
            </a:r>
            <a:endParaRPr altLang="en-US"/>
          </a:p>
        </c:rich>
      </c:tx>
      <c:layout>
        <c:manualLayout>
          <c:xMode val="edge"/>
          <c:yMode val="edge"/>
          <c:x val="0.185"/>
          <c:y val="0.03125"/>
        </c:manualLayout>
      </c:layout>
      <c:overlay val="0"/>
      <c:spPr>
        <a:noFill/>
        <a:ln>
          <a:noFill/>
        </a:ln>
        <a:effectLst/>
      </c:spPr>
    </c:title>
    <c:autoTitleDeleted val="0"/>
    <c:plotArea>
      <c:layout/>
      <c:barChart>
        <c:barDir val="col"/>
        <c:grouping val="clustered"/>
        <c:varyColors val="0"/>
        <c:ser>
          <c:idx val="0"/>
          <c:order val="0"/>
          <c:tx>
            <c:strRef>
              <c:f>[kes.xls]Sheet9!$B$166</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[kes.xls]Sheet9!$C$165:$D$165</c:f>
              <c:strCache>
                <c:ptCount val="2"/>
                <c:pt idx="0">
                  <c:v>收入</c:v>
                </c:pt>
                <c:pt idx="1">
                  <c:v>支出</c:v>
                </c:pt>
              </c:strCache>
            </c:strRef>
          </c:cat>
          <c:val>
            <c:numRef>
              <c:f>[kes.xls]Sheet9!$C$166:$D$166</c:f>
              <c:numCache>
                <c:formatCode>General</c:formatCode>
                <c:ptCount val="2"/>
                <c:pt idx="0">
                  <c:v>100316.76</c:v>
                </c:pt>
                <c:pt idx="1">
                  <c:v>102667.34</c:v>
                </c:pt>
              </c:numCache>
            </c:numRef>
          </c:val>
        </c:ser>
        <c:ser>
          <c:idx val="1"/>
          <c:order val="1"/>
          <c:tx>
            <c:strRef>
              <c:f>[kes.xls]Sheet9!$B$167</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[kes.xls]Sheet9!$C$165:$D$165</c:f>
              <c:strCache>
                <c:ptCount val="2"/>
                <c:pt idx="0">
                  <c:v>收入</c:v>
                </c:pt>
                <c:pt idx="1">
                  <c:v>支出</c:v>
                </c:pt>
              </c:strCache>
            </c:strRef>
          </c:cat>
          <c:val>
            <c:numRef>
              <c:f>[kes.xls]Sheet9!$C$167:$D$167</c:f>
              <c:numCache>
                <c:formatCode>General</c:formatCode>
                <c:ptCount val="2"/>
                <c:pt idx="0">
                  <c:v>96035.63</c:v>
                </c:pt>
                <c:pt idx="1">
                  <c:v>96204.35</c:v>
                </c:pt>
              </c:numCache>
            </c:numRef>
          </c:val>
        </c:ser>
        <c:dLbls>
          <c:showLegendKey val="0"/>
          <c:showVal val="1"/>
          <c:showCatName val="0"/>
          <c:showSerName val="0"/>
          <c:showPercent val="0"/>
          <c:showBubbleSize val="0"/>
        </c:dLbls>
        <c:gapWidth val="219"/>
        <c:overlap val="-27"/>
        <c:axId val="622942302"/>
        <c:axId val="182463353"/>
      </c:barChart>
      <c:catAx>
        <c:axId val="62294230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2463353"/>
        <c:crosses val="autoZero"/>
        <c:auto val="1"/>
        <c:lblAlgn val="ctr"/>
        <c:lblOffset val="100"/>
        <c:noMultiLvlLbl val="0"/>
      </c:catAx>
      <c:valAx>
        <c:axId val="18246335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294230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manualLayout>
          <c:xMode val="edge"/>
          <c:yMode val="edge"/>
          <c:x val="0.347569444444444"/>
          <c:y val="0.0243055555555556"/>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6915912727818"/>
                  <c:y val="-0.02980329230083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98704796958864"/>
                  <c:y val="0.0040088844352756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385167517992658"/>
                  <c:y val="-0.20663433232875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34428926825792"/>
                  <c:y val="-0.022832562954081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[kes.xls]Sheet9!$B$150:$B$153</c:f>
              <c:strCache>
                <c:ptCount val="4"/>
                <c:pt idx="0">
                  <c:v>一般公共预算财政拨款收入</c:v>
                </c:pt>
                <c:pt idx="1">
                  <c:v>政府性基金预算财政拨款收入</c:v>
                </c:pt>
                <c:pt idx="2">
                  <c:v>事业收入</c:v>
                </c:pt>
                <c:pt idx="3">
                  <c:v>其他收入</c:v>
                </c:pt>
              </c:strCache>
            </c:strRef>
          </c:cat>
          <c:val>
            <c:numRef>
              <c:f>[kes.xls]Sheet9!$C$150:$C$153</c:f>
              <c:numCache>
                <c:formatCode>#,##0.00</c:formatCode>
                <c:ptCount val="4"/>
                <c:pt idx="0">
                  <c:v>45583400</c:v>
                </c:pt>
                <c:pt idx="1">
                  <c:v>16240000</c:v>
                </c:pt>
                <c:pt idx="2">
                  <c:v>886902087.61</c:v>
                </c:pt>
                <c:pt idx="3">
                  <c:v>11630829.91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图3：2020年支出决算结构图</a:t>
            </a:r>
          </a:p>
        </c:rich>
      </c:tx>
      <c:layout>
        <c:manualLayout>
          <c:xMode val="edge"/>
          <c:yMode val="edge"/>
          <c:x val="0.248472222222222"/>
          <c:y val="0.0347222222222222"/>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[kes.xls]Sheet9!$B$213:$B$214</c:f>
              <c:strCache>
                <c:ptCount val="2"/>
                <c:pt idx="0">
                  <c:v>基本支出</c:v>
                </c:pt>
                <c:pt idx="1">
                  <c:v>项目支出</c:v>
                </c:pt>
              </c:strCache>
            </c:strRef>
          </c:cat>
          <c:val>
            <c:numRef>
              <c:f>[kes.xls]Sheet9!$C$213:$C$214</c:f>
              <c:numCache>
                <c:formatCode>General</c:formatCode>
                <c:ptCount val="2"/>
                <c:pt idx="0">
                  <c:v>90765.94</c:v>
                </c:pt>
                <c:pt idx="1">
                  <c:v>5438.41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4</a:t>
            </a:r>
            <a:r>
              <a:rPr altLang="en-US"/>
              <a:t>：财政拨款收入支出决算变动情况</a:t>
            </a:r>
            <a:endParaRPr altLang="en-US"/>
          </a:p>
          <a:p>
            <a:pPr defTabSz="914400">
              <a:defRPr lang="zh-CN" sz="1400" b="0" i="0" u="none" strike="noStrike" kern="1200" spc="0" baseline="0">
                <a:solidFill>
                  <a:schemeClr val="tx1">
                    <a:lumMod val="65000"/>
                    <a:lumOff val="35000"/>
                  </a:schemeClr>
                </a:solidFill>
                <a:latin typeface="+mn-lt"/>
                <a:ea typeface="+mn-ea"/>
                <a:cs typeface="+mn-cs"/>
              </a:defRPr>
            </a:pPr>
            <a:r>
              <a:rPr altLang="en-US"/>
              <a:t>                                                        单位：万元</a:t>
            </a:r>
            <a:endParaRPr altLang="en-US"/>
          </a:p>
        </c:rich>
      </c:tx>
      <c:layout/>
      <c:overlay val="0"/>
      <c:spPr>
        <a:noFill/>
        <a:ln>
          <a:noFill/>
        </a:ln>
        <a:effectLst/>
      </c:spPr>
    </c:title>
    <c:autoTitleDeleted val="0"/>
    <c:plotArea>
      <c:layout/>
      <c:barChart>
        <c:barDir val="col"/>
        <c:grouping val="clustered"/>
        <c:varyColors val="0"/>
        <c:ser>
          <c:idx val="0"/>
          <c:order val="0"/>
          <c:tx>
            <c:strRef>
              <c:f>[kes.xls]Sheet9!$B$174</c:f>
              <c:strCache>
                <c:ptCount val="1"/>
                <c:pt idx="0">
                  <c:v>2019年</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34</a:t>
                    </a:r>
                    <a:r>
                      <a:rPr lang="en-US" altLang="zh-CN"/>
                      <a:t>57</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[kes.xls]Sheet9!$C$173:$D$173</c:f>
              <c:strCache>
                <c:ptCount val="2"/>
                <c:pt idx="0">
                  <c:v>财政拨款收入</c:v>
                </c:pt>
                <c:pt idx="1">
                  <c:v>财政拨款支出</c:v>
                </c:pt>
              </c:strCache>
            </c:strRef>
          </c:cat>
          <c:val>
            <c:numRef>
              <c:f>[kes.xls]Sheet9!$C$174:$D$174</c:f>
              <c:numCache>
                <c:formatCode>General</c:formatCode>
                <c:ptCount val="2"/>
                <c:pt idx="0">
                  <c:v>3486</c:v>
                </c:pt>
                <c:pt idx="1">
                  <c:v>3478</c:v>
                </c:pt>
              </c:numCache>
            </c:numRef>
          </c:val>
        </c:ser>
        <c:ser>
          <c:idx val="1"/>
          <c:order val="1"/>
          <c:tx>
            <c:strRef>
              <c:f>[kes.xls]Sheet9!$B$175</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[kes.xls]Sheet9!$C$173:$D$173</c:f>
              <c:strCache>
                <c:ptCount val="2"/>
                <c:pt idx="0">
                  <c:v>财政拨款收入</c:v>
                </c:pt>
                <c:pt idx="1">
                  <c:v>财政拨款支出</c:v>
                </c:pt>
              </c:strCache>
            </c:strRef>
          </c:cat>
          <c:val>
            <c:numRef>
              <c:f>[kes.xls]Sheet9!$C$175:$D$175</c:f>
              <c:numCache>
                <c:formatCode>General</c:formatCode>
                <c:ptCount val="2"/>
                <c:pt idx="0">
                  <c:v>6182.34</c:v>
                </c:pt>
                <c:pt idx="1">
                  <c:v>5907.12</c:v>
                </c:pt>
              </c:numCache>
            </c:numRef>
          </c:val>
        </c:ser>
        <c:dLbls>
          <c:showLegendKey val="0"/>
          <c:showVal val="1"/>
          <c:showCatName val="0"/>
          <c:showSerName val="0"/>
          <c:showPercent val="0"/>
          <c:showBubbleSize val="0"/>
        </c:dLbls>
        <c:gapWidth val="219"/>
        <c:overlap val="-27"/>
        <c:axId val="693646198"/>
        <c:axId val="464510071"/>
      </c:barChart>
      <c:catAx>
        <c:axId val="69364619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4510071"/>
        <c:crosses val="autoZero"/>
        <c:auto val="1"/>
        <c:lblAlgn val="ctr"/>
        <c:lblOffset val="100"/>
        <c:noMultiLvlLbl val="0"/>
      </c:catAx>
      <c:valAx>
        <c:axId val="4645100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64619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TotalTime>7</TotalTime>
  <ScaleCrop>false</ScaleCrop>
  <LinksUpToDate>false</LinksUpToDate>
  <CharactersWithSpaces>8536</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2020-08-04T09:49:00Z</dcterms:created>
  <dc:creator>曹颖</dc:creator>
  <cp:lastModifiedBy>user</cp:lastModifiedBy>
  <cp:lastPrinted>2021-09-13T10:23:00Z</cp:lastPrinted>
  <dcterms:modified xsi:type="dcterms:W3CDTF">2023-07-14T11:40:12Z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2052-11.1.0.11664</vt:lpwstr>
  </property>
  <property fmtid="{D5CDD505-2E9C-101B-9397-08002B2CF9AE}" pid="3" name="ICV">
    <vt:lpwstr>5BCD93EA88EF4A3AAA36BC9628941156</vt:lpwstr>
  </property>
</Properties>
</file>