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425"/>
      <w:bookmarkStart w:id="3" w:name="_Toc15396597"/>
      <w:bookmarkStart w:id="4" w:name="_Toc15396475"/>
      <w:bookmarkStart w:id="5" w:name="_Toc15377193"/>
      <w:r>
        <w:rPr>
          <w:rFonts w:ascii="黑体" w:hAnsi="黑体" w:eastAsia="黑体"/>
          <w:color w:val="000000"/>
          <w:sz w:val="72"/>
          <w:szCs w:val="72"/>
        </w:rPr>
        <w:t>20</w:t>
      </w:r>
      <w:r>
        <w:rPr>
          <w:rFonts w:hint="eastAsia" w:ascii="黑体" w:hAnsi="黑体" w:eastAsia="黑体"/>
          <w:color w:val="000000"/>
          <w:sz w:val="72"/>
          <w:szCs w:val="72"/>
        </w:rPr>
        <w:t>20</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598"/>
      <w:bookmarkStart w:id="7" w:name="_Toc15377426"/>
      <w:bookmarkStart w:id="8" w:name="_Toc15306268"/>
      <w:bookmarkStart w:id="9" w:name="_Toc15396476"/>
      <w:bookmarkStart w:id="10" w:name="_Toc15378442"/>
      <w:bookmarkStart w:id="11" w:name="_Toc15377194"/>
      <w:r>
        <w:rPr>
          <w:rFonts w:hint="eastAsia" w:ascii="方正小标宋简体" w:hAnsi="宋体" w:eastAsia="方正小标宋简体"/>
          <w:color w:val="000000"/>
          <w:sz w:val="72"/>
          <w:szCs w:val="72"/>
        </w:rPr>
        <w:t>巴中市疾病预防控制中心</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单位决算</w:t>
      </w:r>
      <w:bookmarkEnd w:id="6"/>
      <w:bookmarkEnd w:id="7"/>
      <w:bookmarkEnd w:id="8"/>
      <w:bookmarkEnd w:id="9"/>
      <w:bookmarkEnd w:id="10"/>
      <w:bookmarkEnd w:id="11"/>
      <w:r>
        <w:rPr>
          <w:rFonts w:hint="eastAsia" w:ascii="方正小标宋简体" w:hAnsi="宋体" w:eastAsia="方正小标宋简体"/>
          <w:color w:val="000000"/>
          <w:sz w:val="72"/>
          <w:szCs w:val="72"/>
        </w:rPr>
        <w:t>公开说明</w:t>
      </w:r>
    </w:p>
    <w:p>
      <w:pPr>
        <w:widowControl/>
        <w:spacing w:line="560" w:lineRule="exact"/>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spacing w:line="560" w:lineRule="exact"/>
        <w:ind w:firstLine="560" w:firstLineChars="200"/>
        <w:rPr>
          <w:rFonts w:ascii="仿宋_GB2312" w:hAnsi="黑体" w:eastAsia="仿宋_GB2312" w:cstheme="minorBidi"/>
          <w:sz w:val="28"/>
          <w:szCs w:val="28"/>
        </w:rPr>
      </w:pPr>
      <w:r>
        <w:rPr>
          <w:rFonts w:hint="eastAsia" w:ascii="仿宋_GB2312" w:hAnsi="黑体" w:eastAsia="仿宋_GB2312"/>
          <w:color w:val="000000"/>
          <w:sz w:val="28"/>
          <w:szCs w:val="28"/>
        </w:rPr>
        <w:fldChar w:fldCharType="begin"/>
      </w:r>
      <w:r>
        <w:rPr>
          <w:rFonts w:hint="eastAsia" w:ascii="仿宋_GB2312" w:hAnsi="黑体" w:eastAsia="仿宋_GB2312"/>
          <w:color w:val="000000"/>
          <w:sz w:val="28"/>
          <w:szCs w:val="28"/>
        </w:rPr>
        <w:instrText xml:space="preserve"> TOC \o "1-2" \h \z \u </w:instrText>
      </w:r>
      <w:r>
        <w:rPr>
          <w:rFonts w:hint="eastAsia" w:ascii="仿宋_GB2312" w:hAnsi="黑体" w:eastAsia="仿宋_GB2312"/>
          <w:color w:val="000000"/>
          <w:sz w:val="28"/>
          <w:szCs w:val="28"/>
        </w:rPr>
        <w:fldChar w:fldCharType="separate"/>
      </w:r>
    </w:p>
    <w:p>
      <w:pPr>
        <w:pStyle w:val="10"/>
        <w:rPr>
          <w:rFonts w:ascii="仿宋_GB2312" w:eastAsia="仿宋_GB2312"/>
        </w:rPr>
      </w:pPr>
      <w:r>
        <w:rPr>
          <w:rFonts w:hint="eastAsia" w:ascii="仿宋_GB2312" w:eastAsia="仿宋_GB2312"/>
        </w:rPr>
        <w:t>公开时间：2021年9月</w:t>
      </w:r>
      <w:r>
        <w:rPr>
          <w:rFonts w:hint="eastAsia" w:ascii="仿宋_GB2312" w:eastAsia="仿宋_GB2312"/>
          <w:lang w:val="en-US" w:eastAsia="zh-CN"/>
        </w:rPr>
        <w:t>15</w:t>
      </w:r>
      <w:r>
        <w:rPr>
          <w:rFonts w:hint="eastAsia" w:ascii="仿宋_GB2312" w:eastAsia="仿宋_GB2312"/>
        </w:rPr>
        <w:t>日</w:t>
      </w:r>
    </w:p>
    <w:p>
      <w:pPr>
        <w:spacing w:line="560" w:lineRule="exact"/>
        <w:ind w:firstLine="560" w:firstLineChars="200"/>
        <w:rPr>
          <w:rFonts w:ascii="仿宋_GB2312" w:eastAsia="仿宋_GB2312"/>
          <w:sz w:val="28"/>
          <w:szCs w:val="28"/>
        </w:rPr>
      </w:pPr>
    </w:p>
    <w:p>
      <w:pPr>
        <w:pStyle w:val="10"/>
        <w:rPr>
          <w:rFonts w:ascii="仿宋_GB2312" w:eastAsia="仿宋_GB2312" w:cstheme="minorBidi"/>
        </w:rPr>
      </w:pPr>
      <w:r>
        <w:fldChar w:fldCharType="begin"/>
      </w:r>
      <w:r>
        <w:instrText xml:space="preserve"> HYPERLINK \l "_Toc15396599" </w:instrText>
      </w:r>
      <w:r>
        <w:fldChar w:fldCharType="separate"/>
      </w:r>
      <w:r>
        <w:rPr>
          <w:rStyle w:val="17"/>
          <w:rFonts w:hint="eastAsia" w:ascii="仿宋_GB2312" w:eastAsia="仿宋_GB2312"/>
        </w:rPr>
        <w:t>第一部分 单位概况</w:t>
      </w:r>
      <w:r>
        <w:rPr>
          <w:rFonts w:hint="eastAsia" w:ascii="仿宋_GB2312" w:eastAsia="仿宋_GB2312"/>
        </w:rPr>
        <w:tab/>
      </w:r>
      <w:r>
        <w:rPr>
          <w:rFonts w:hint="eastAsia" w:ascii="仿宋_GB2312" w:eastAsia="仿宋_GB2312"/>
        </w:rPr>
        <w:t>3</w:t>
      </w:r>
      <w:r>
        <w:rPr>
          <w:rFonts w:hint="eastAsia" w:ascii="仿宋_GB2312" w:eastAsia="仿宋_GB2312"/>
        </w:rPr>
        <w:fldChar w:fldCharType="end"/>
      </w:r>
    </w:p>
    <w:p>
      <w:pPr>
        <w:pStyle w:val="12"/>
        <w:spacing w:line="560" w:lineRule="exact"/>
        <w:ind w:left="0" w:leftChars="0" w:firstLine="420" w:firstLineChars="200"/>
        <w:rPr>
          <w:rFonts w:ascii="仿宋_GB2312" w:hAnsi="仿宋" w:eastAsia="仿宋_GB2312" w:cstheme="minorBidi"/>
          <w:sz w:val="28"/>
          <w:szCs w:val="28"/>
        </w:rPr>
      </w:pPr>
      <w:r>
        <w:fldChar w:fldCharType="begin"/>
      </w:r>
      <w:r>
        <w:instrText xml:space="preserve"> HYPERLINK \l "_Toc15396600" </w:instrText>
      </w:r>
      <w:r>
        <w:fldChar w:fldCharType="separate"/>
      </w:r>
      <w:r>
        <w:rPr>
          <w:rStyle w:val="17"/>
          <w:rFonts w:hint="eastAsia" w:ascii="仿宋_GB2312" w:hAnsi="仿宋" w:eastAsia="仿宋_GB2312"/>
          <w:sz w:val="28"/>
          <w:szCs w:val="28"/>
        </w:rPr>
        <w:t>一、基本职能及主要工作</w:t>
      </w:r>
      <w:r>
        <w:rPr>
          <w:rFonts w:hint="eastAsia" w:ascii="仿宋_GB2312" w:hAnsi="仿宋" w:eastAsia="仿宋_GB2312"/>
          <w:sz w:val="28"/>
          <w:szCs w:val="28"/>
        </w:rPr>
        <w:tab/>
      </w:r>
      <w:r>
        <w:rPr>
          <w:rFonts w:hint="eastAsia" w:ascii="仿宋_GB2312" w:hAnsi="仿宋" w:eastAsia="仿宋_GB2312"/>
          <w:sz w:val="28"/>
          <w:szCs w:val="28"/>
        </w:rPr>
        <w:t>3</w:t>
      </w:r>
      <w:r>
        <w:rPr>
          <w:rFonts w:hint="eastAsia" w:ascii="仿宋_GB2312" w:hAnsi="仿宋" w:eastAsia="仿宋_GB2312"/>
          <w:sz w:val="28"/>
          <w:szCs w:val="28"/>
        </w:rPr>
        <w:fldChar w:fldCharType="end"/>
      </w:r>
    </w:p>
    <w:p>
      <w:pPr>
        <w:pStyle w:val="12"/>
        <w:spacing w:line="560" w:lineRule="exact"/>
        <w:ind w:left="0" w:leftChars="0" w:firstLine="420" w:firstLineChars="200"/>
        <w:rPr>
          <w:rFonts w:ascii="仿宋_GB2312" w:eastAsia="仿宋_GB2312" w:cstheme="minorBidi"/>
          <w:sz w:val="28"/>
          <w:szCs w:val="28"/>
        </w:rPr>
      </w:pPr>
      <w:r>
        <w:fldChar w:fldCharType="begin"/>
      </w:r>
      <w:r>
        <w:instrText xml:space="preserve"> HYPERLINK \l "_Toc15396601" </w:instrText>
      </w:r>
      <w:r>
        <w:fldChar w:fldCharType="separate"/>
      </w:r>
      <w:r>
        <w:rPr>
          <w:rStyle w:val="17"/>
          <w:rFonts w:hint="eastAsia" w:ascii="仿宋_GB2312" w:hAnsi="仿宋" w:eastAsia="仿宋_GB2312"/>
          <w:sz w:val="28"/>
          <w:szCs w:val="28"/>
        </w:rPr>
        <w:t>二、机构设置</w:t>
      </w:r>
      <w:r>
        <w:rPr>
          <w:rFonts w:hint="eastAsia" w:ascii="仿宋_GB2312" w:eastAsia="仿宋_GB2312"/>
          <w:sz w:val="28"/>
          <w:szCs w:val="28"/>
        </w:rPr>
        <w:tab/>
      </w:r>
      <w:r>
        <w:rPr>
          <w:rFonts w:hint="eastAsia" w:ascii="仿宋_GB2312" w:eastAsia="仿宋_GB2312"/>
          <w:sz w:val="28"/>
          <w:szCs w:val="28"/>
        </w:rPr>
        <w:t>12</w:t>
      </w:r>
      <w:r>
        <w:rPr>
          <w:rFonts w:hint="eastAsia" w:ascii="仿宋_GB2312" w:eastAsia="仿宋_GB2312"/>
          <w:sz w:val="28"/>
          <w:szCs w:val="28"/>
        </w:rPr>
        <w:fldChar w:fldCharType="end"/>
      </w:r>
    </w:p>
    <w:p>
      <w:pPr>
        <w:pStyle w:val="10"/>
        <w:rPr>
          <w:rFonts w:ascii="仿宋_GB2312" w:eastAsia="仿宋_GB2312"/>
        </w:rPr>
      </w:pPr>
      <w:r>
        <w:fldChar w:fldCharType="begin"/>
      </w:r>
      <w:r>
        <w:instrText xml:space="preserve"> HYPERLINK \l "_Toc15396602" </w:instrText>
      </w:r>
      <w:r>
        <w:fldChar w:fldCharType="separate"/>
      </w:r>
      <w:r>
        <w:rPr>
          <w:rStyle w:val="17"/>
          <w:rFonts w:hint="eastAsia" w:ascii="仿宋_GB2312" w:eastAsia="仿宋_GB2312"/>
        </w:rPr>
        <w:t>第二部分 2020年度决算情况说明</w:t>
      </w:r>
      <w:r>
        <w:rPr>
          <w:rFonts w:hint="eastAsia" w:ascii="仿宋_GB2312" w:eastAsia="仿宋_GB2312"/>
        </w:rPr>
        <w:tab/>
      </w:r>
      <w:r>
        <w:rPr>
          <w:rFonts w:hint="eastAsia" w:ascii="仿宋_GB2312" w:eastAsia="仿宋_GB2312"/>
        </w:rPr>
        <w:t>13</w:t>
      </w:r>
      <w:r>
        <w:rPr>
          <w:rFonts w:hint="eastAsia" w:ascii="仿宋_GB2312" w:eastAsia="仿宋_GB2312"/>
        </w:rPr>
        <w:fldChar w:fldCharType="end"/>
      </w:r>
    </w:p>
    <w:p>
      <w:pPr>
        <w:pStyle w:val="12"/>
        <w:spacing w:line="560" w:lineRule="exact"/>
        <w:ind w:left="0" w:leftChars="0" w:firstLine="420" w:firstLineChars="200"/>
        <w:rPr>
          <w:rFonts w:ascii="仿宋_GB2312" w:eastAsia="仿宋_GB2312" w:cstheme="minorBidi"/>
          <w:sz w:val="28"/>
          <w:szCs w:val="28"/>
        </w:rPr>
      </w:pPr>
      <w:r>
        <w:fldChar w:fldCharType="begin"/>
      </w:r>
      <w:r>
        <w:instrText xml:space="preserve"> HYPERLINK \l "_Toc15396603" </w:instrText>
      </w:r>
      <w:r>
        <w:fldChar w:fldCharType="separate"/>
      </w:r>
      <w:r>
        <w:rPr>
          <w:rStyle w:val="17"/>
          <w:rFonts w:hint="eastAsia" w:ascii="仿宋_GB2312" w:hAnsi="仿宋" w:eastAsia="仿宋_GB2312" w:cstheme="majorBidi"/>
          <w:bCs/>
          <w:sz w:val="28"/>
          <w:szCs w:val="28"/>
        </w:rPr>
        <w:t>一、</w:t>
      </w:r>
      <w:r>
        <w:rPr>
          <w:rStyle w:val="17"/>
          <w:rFonts w:hint="eastAsia" w:ascii="仿宋_GB2312" w:hAnsi="仿宋" w:eastAsia="仿宋_GB2312"/>
          <w:sz w:val="28"/>
          <w:szCs w:val="28"/>
        </w:rPr>
        <w:t>收</w:t>
      </w:r>
      <w:r>
        <w:rPr>
          <w:rStyle w:val="17"/>
          <w:rFonts w:hint="eastAsia" w:ascii="仿宋_GB2312" w:hAnsi="仿宋" w:eastAsia="仿宋_GB2312" w:cstheme="majorBidi"/>
          <w:bCs/>
          <w:sz w:val="28"/>
          <w:szCs w:val="28"/>
        </w:rPr>
        <w:t>入支出决算总体情况说明</w:t>
      </w:r>
      <w:r>
        <w:rPr>
          <w:rFonts w:hint="eastAsia" w:ascii="仿宋_GB2312" w:eastAsia="仿宋_GB2312"/>
          <w:sz w:val="28"/>
          <w:szCs w:val="28"/>
        </w:rPr>
        <w:tab/>
      </w:r>
      <w:r>
        <w:rPr>
          <w:rFonts w:hint="eastAsia" w:ascii="仿宋_GB2312" w:eastAsia="仿宋_GB2312"/>
          <w:sz w:val="28"/>
          <w:szCs w:val="28"/>
        </w:rPr>
        <w:t>13</w:t>
      </w:r>
      <w:r>
        <w:rPr>
          <w:rFonts w:hint="eastAsia" w:ascii="仿宋_GB2312" w:eastAsia="仿宋_GB2312"/>
          <w:sz w:val="28"/>
          <w:szCs w:val="28"/>
        </w:rPr>
        <w:fldChar w:fldCharType="end"/>
      </w:r>
    </w:p>
    <w:p>
      <w:pPr>
        <w:pStyle w:val="12"/>
        <w:spacing w:line="560" w:lineRule="exact"/>
        <w:ind w:left="0" w:leftChars="0" w:firstLine="420" w:firstLineChars="200"/>
        <w:rPr>
          <w:rFonts w:ascii="仿宋_GB2312" w:eastAsia="仿宋_GB2312" w:cstheme="minorBidi"/>
          <w:sz w:val="28"/>
          <w:szCs w:val="28"/>
        </w:rPr>
      </w:pPr>
      <w:r>
        <w:fldChar w:fldCharType="begin"/>
      </w:r>
      <w:r>
        <w:instrText xml:space="preserve"> HYPERLINK \l "_Toc15396604" </w:instrText>
      </w:r>
      <w:r>
        <w:fldChar w:fldCharType="separate"/>
      </w:r>
      <w:r>
        <w:rPr>
          <w:rStyle w:val="17"/>
          <w:rFonts w:hint="eastAsia" w:ascii="仿宋_GB2312" w:hAnsi="仿宋" w:eastAsia="仿宋_GB2312" w:cstheme="majorBidi"/>
          <w:bCs/>
          <w:sz w:val="28"/>
          <w:szCs w:val="28"/>
        </w:rPr>
        <w:t>二、</w:t>
      </w:r>
      <w:r>
        <w:rPr>
          <w:rStyle w:val="17"/>
          <w:rFonts w:hint="eastAsia" w:ascii="仿宋_GB2312" w:hAnsi="仿宋" w:eastAsia="仿宋_GB2312"/>
          <w:sz w:val="28"/>
          <w:szCs w:val="28"/>
        </w:rPr>
        <w:t>收</w:t>
      </w:r>
      <w:r>
        <w:rPr>
          <w:rStyle w:val="17"/>
          <w:rFonts w:hint="eastAsia" w:ascii="仿宋_GB2312" w:hAnsi="仿宋" w:eastAsia="仿宋_GB2312" w:cstheme="majorBidi"/>
          <w:bCs/>
          <w:sz w:val="28"/>
          <w:szCs w:val="28"/>
        </w:rPr>
        <w:t>入决算情况说明</w:t>
      </w:r>
      <w:r>
        <w:rPr>
          <w:rFonts w:hint="eastAsia" w:ascii="仿宋_GB2312" w:eastAsia="仿宋_GB2312"/>
          <w:sz w:val="28"/>
          <w:szCs w:val="28"/>
        </w:rPr>
        <w:tab/>
      </w:r>
      <w:r>
        <w:rPr>
          <w:rFonts w:hint="eastAsia" w:ascii="仿宋_GB2312" w:eastAsia="仿宋_GB2312"/>
          <w:sz w:val="28"/>
          <w:szCs w:val="28"/>
        </w:rPr>
        <w:t>13</w:t>
      </w:r>
      <w:r>
        <w:rPr>
          <w:rFonts w:hint="eastAsia" w:ascii="仿宋_GB2312" w:eastAsia="仿宋_GB2312"/>
          <w:sz w:val="28"/>
          <w:szCs w:val="28"/>
        </w:rPr>
        <w:fldChar w:fldCharType="end"/>
      </w:r>
    </w:p>
    <w:p>
      <w:pPr>
        <w:pStyle w:val="12"/>
        <w:spacing w:line="560" w:lineRule="exact"/>
        <w:ind w:left="0" w:leftChars="0" w:firstLine="420" w:firstLineChars="200"/>
        <w:rPr>
          <w:rFonts w:ascii="仿宋_GB2312" w:eastAsia="仿宋_GB2312" w:cstheme="minorBidi"/>
          <w:sz w:val="28"/>
          <w:szCs w:val="28"/>
        </w:rPr>
      </w:pPr>
      <w:r>
        <w:fldChar w:fldCharType="begin"/>
      </w:r>
      <w:r>
        <w:instrText xml:space="preserve"> HYPERLINK \l "_Toc15396605" </w:instrText>
      </w:r>
      <w:r>
        <w:fldChar w:fldCharType="separate"/>
      </w:r>
      <w:r>
        <w:rPr>
          <w:rStyle w:val="17"/>
          <w:rFonts w:hint="eastAsia" w:ascii="仿宋_GB2312" w:hAnsi="仿宋" w:eastAsia="仿宋_GB2312" w:cstheme="majorBidi"/>
          <w:bCs/>
          <w:sz w:val="28"/>
          <w:szCs w:val="28"/>
        </w:rPr>
        <w:t>三、</w:t>
      </w:r>
      <w:r>
        <w:rPr>
          <w:rStyle w:val="17"/>
          <w:rFonts w:hint="eastAsia" w:ascii="仿宋_GB2312" w:hAnsi="仿宋" w:eastAsia="仿宋_GB2312"/>
          <w:sz w:val="28"/>
          <w:szCs w:val="28"/>
        </w:rPr>
        <w:t>支</w:t>
      </w:r>
      <w:r>
        <w:rPr>
          <w:rStyle w:val="17"/>
          <w:rFonts w:hint="eastAsia" w:ascii="仿宋_GB2312" w:hAnsi="仿宋" w:eastAsia="仿宋_GB2312" w:cstheme="majorBidi"/>
          <w:bCs/>
          <w:sz w:val="28"/>
          <w:szCs w:val="28"/>
        </w:rPr>
        <w:t>出决算情况说明</w:t>
      </w:r>
      <w:r>
        <w:rPr>
          <w:rFonts w:hint="eastAsia" w:ascii="仿宋_GB2312" w:eastAsia="仿宋_GB2312"/>
          <w:sz w:val="28"/>
          <w:szCs w:val="28"/>
        </w:rPr>
        <w:tab/>
      </w:r>
      <w:r>
        <w:rPr>
          <w:rFonts w:hint="eastAsia" w:ascii="仿宋_GB2312" w:eastAsia="仿宋_GB2312"/>
          <w:sz w:val="28"/>
          <w:szCs w:val="28"/>
        </w:rPr>
        <w:fldChar w:fldCharType="end"/>
      </w:r>
      <w:r>
        <w:rPr>
          <w:rFonts w:hint="eastAsia" w:ascii="仿宋_GB2312" w:eastAsia="仿宋_GB2312"/>
          <w:sz w:val="28"/>
          <w:szCs w:val="28"/>
        </w:rPr>
        <w:t>14</w:t>
      </w:r>
    </w:p>
    <w:p>
      <w:pPr>
        <w:pStyle w:val="12"/>
        <w:spacing w:line="560" w:lineRule="exact"/>
        <w:ind w:left="0" w:leftChars="0" w:firstLine="420" w:firstLineChars="200"/>
        <w:rPr>
          <w:rFonts w:ascii="仿宋_GB2312" w:eastAsia="仿宋_GB2312" w:cstheme="minorBidi"/>
          <w:sz w:val="28"/>
          <w:szCs w:val="28"/>
        </w:rPr>
      </w:pPr>
      <w:r>
        <w:fldChar w:fldCharType="begin"/>
      </w:r>
      <w:r>
        <w:instrText xml:space="preserve"> HYPERLINK \l "_Toc15396606" </w:instrText>
      </w:r>
      <w:r>
        <w:fldChar w:fldCharType="separate"/>
      </w:r>
      <w:r>
        <w:rPr>
          <w:rStyle w:val="17"/>
          <w:rFonts w:hint="eastAsia" w:ascii="仿宋_GB2312" w:hAnsi="仿宋" w:eastAsia="仿宋_GB2312"/>
          <w:sz w:val="28"/>
          <w:szCs w:val="28"/>
        </w:rPr>
        <w:t>四、财</w:t>
      </w:r>
      <w:r>
        <w:rPr>
          <w:rStyle w:val="17"/>
          <w:rFonts w:hint="eastAsia" w:ascii="仿宋_GB2312" w:hAnsi="仿宋" w:eastAsia="仿宋_GB2312" w:cstheme="majorBidi"/>
          <w:bCs/>
          <w:sz w:val="28"/>
          <w:szCs w:val="28"/>
        </w:rPr>
        <w:t>政拨款收入支出决算总体情况说明</w:t>
      </w:r>
      <w:r>
        <w:rPr>
          <w:rFonts w:hint="eastAsia" w:ascii="仿宋_GB2312" w:eastAsia="仿宋_GB2312"/>
          <w:sz w:val="28"/>
          <w:szCs w:val="28"/>
        </w:rPr>
        <w:tab/>
      </w:r>
      <w:r>
        <w:rPr>
          <w:rFonts w:hint="eastAsia" w:ascii="仿宋_GB2312" w:eastAsia="仿宋_GB2312"/>
          <w:sz w:val="28"/>
          <w:szCs w:val="28"/>
        </w:rPr>
        <w:t>15</w:t>
      </w:r>
      <w:r>
        <w:rPr>
          <w:rFonts w:hint="eastAsia" w:ascii="仿宋_GB2312" w:eastAsia="仿宋_GB2312"/>
          <w:sz w:val="28"/>
          <w:szCs w:val="28"/>
        </w:rPr>
        <w:fldChar w:fldCharType="end"/>
      </w:r>
    </w:p>
    <w:p>
      <w:pPr>
        <w:pStyle w:val="12"/>
        <w:spacing w:line="560" w:lineRule="exact"/>
        <w:ind w:left="0" w:leftChars="0" w:firstLine="420" w:firstLineChars="200"/>
        <w:rPr>
          <w:rFonts w:ascii="仿宋_GB2312" w:eastAsia="仿宋_GB2312" w:cstheme="minorBidi"/>
          <w:sz w:val="28"/>
          <w:szCs w:val="28"/>
        </w:rPr>
      </w:pPr>
      <w:r>
        <w:fldChar w:fldCharType="begin"/>
      </w:r>
      <w:r>
        <w:instrText xml:space="preserve"> HYPERLINK \l "_Toc15396607" </w:instrText>
      </w:r>
      <w:r>
        <w:fldChar w:fldCharType="separate"/>
      </w:r>
      <w:r>
        <w:rPr>
          <w:rStyle w:val="17"/>
          <w:rFonts w:hint="eastAsia" w:ascii="仿宋_GB2312" w:hAnsi="仿宋" w:eastAsia="仿宋_GB2312"/>
          <w:sz w:val="28"/>
          <w:szCs w:val="28"/>
        </w:rPr>
        <w:t>五、一</w:t>
      </w:r>
      <w:r>
        <w:rPr>
          <w:rStyle w:val="17"/>
          <w:rFonts w:hint="eastAsia" w:ascii="仿宋_GB2312" w:hAnsi="仿宋" w:eastAsia="仿宋_GB2312" w:cstheme="majorBidi"/>
          <w:bCs/>
          <w:sz w:val="28"/>
          <w:szCs w:val="28"/>
        </w:rPr>
        <w:t>般公共预算财政拨款支出决算情况说明</w:t>
      </w:r>
      <w:r>
        <w:rPr>
          <w:rFonts w:hint="eastAsia" w:ascii="仿宋_GB2312" w:eastAsia="仿宋_GB2312"/>
          <w:sz w:val="28"/>
          <w:szCs w:val="28"/>
        </w:rPr>
        <w:tab/>
      </w:r>
      <w:r>
        <w:rPr>
          <w:rFonts w:hint="eastAsia" w:ascii="仿宋_GB2312" w:eastAsia="仿宋_GB2312"/>
          <w:sz w:val="28"/>
          <w:szCs w:val="28"/>
        </w:rPr>
        <w:t>15</w:t>
      </w:r>
      <w:r>
        <w:rPr>
          <w:rFonts w:hint="eastAsia" w:ascii="仿宋_GB2312" w:eastAsia="仿宋_GB2312"/>
          <w:sz w:val="28"/>
          <w:szCs w:val="28"/>
        </w:rPr>
        <w:fldChar w:fldCharType="end"/>
      </w:r>
    </w:p>
    <w:p>
      <w:pPr>
        <w:pStyle w:val="12"/>
        <w:spacing w:line="560" w:lineRule="exact"/>
        <w:ind w:left="0" w:leftChars="0" w:firstLine="420" w:firstLineChars="200"/>
        <w:rPr>
          <w:rFonts w:ascii="仿宋_GB2312" w:eastAsia="仿宋_GB2312" w:cstheme="minorBidi"/>
          <w:sz w:val="28"/>
          <w:szCs w:val="28"/>
        </w:rPr>
      </w:pPr>
      <w:r>
        <w:fldChar w:fldCharType="begin"/>
      </w:r>
      <w:r>
        <w:instrText xml:space="preserve"> HYPERLINK \l "_Toc15396608" </w:instrText>
      </w:r>
      <w:r>
        <w:fldChar w:fldCharType="separate"/>
      </w:r>
      <w:r>
        <w:rPr>
          <w:rStyle w:val="17"/>
          <w:rFonts w:hint="eastAsia" w:ascii="仿宋_GB2312" w:hAnsi="仿宋" w:eastAsia="仿宋_GB2312"/>
          <w:sz w:val="28"/>
          <w:szCs w:val="28"/>
        </w:rPr>
        <w:t>六、一</w:t>
      </w:r>
      <w:r>
        <w:rPr>
          <w:rStyle w:val="17"/>
          <w:rFonts w:hint="eastAsia" w:ascii="仿宋_GB2312" w:hAnsi="仿宋" w:eastAsia="仿宋_GB2312" w:cstheme="majorBidi"/>
          <w:bCs/>
          <w:sz w:val="28"/>
          <w:szCs w:val="28"/>
        </w:rPr>
        <w:t>般公共预算财政拨款基本支出决算情况说明</w:t>
      </w:r>
      <w:r>
        <w:rPr>
          <w:rFonts w:hint="eastAsia" w:ascii="仿宋_GB2312" w:eastAsia="仿宋_GB2312"/>
          <w:sz w:val="28"/>
          <w:szCs w:val="28"/>
        </w:rPr>
        <w:tab/>
      </w:r>
      <w:r>
        <w:rPr>
          <w:rFonts w:hint="eastAsia" w:ascii="仿宋_GB2312" w:eastAsia="仿宋_GB2312"/>
          <w:sz w:val="28"/>
          <w:szCs w:val="28"/>
        </w:rPr>
        <w:t>18</w:t>
      </w:r>
      <w:r>
        <w:rPr>
          <w:rFonts w:hint="eastAsia" w:ascii="仿宋_GB2312" w:eastAsia="仿宋_GB2312"/>
          <w:sz w:val="28"/>
          <w:szCs w:val="28"/>
        </w:rPr>
        <w:fldChar w:fldCharType="end"/>
      </w:r>
    </w:p>
    <w:p>
      <w:pPr>
        <w:pStyle w:val="12"/>
        <w:spacing w:line="560" w:lineRule="exact"/>
        <w:ind w:left="0" w:leftChars="0" w:firstLine="420" w:firstLineChars="200"/>
        <w:rPr>
          <w:rFonts w:ascii="仿宋_GB2312" w:eastAsia="仿宋_GB2312" w:cstheme="minorBidi"/>
          <w:sz w:val="28"/>
          <w:szCs w:val="28"/>
        </w:rPr>
      </w:pPr>
      <w:r>
        <w:fldChar w:fldCharType="begin"/>
      </w:r>
      <w:r>
        <w:instrText xml:space="preserve"> HYPERLINK \l "_Toc15396609" </w:instrText>
      </w:r>
      <w:r>
        <w:fldChar w:fldCharType="separate"/>
      </w:r>
      <w:r>
        <w:rPr>
          <w:rStyle w:val="17"/>
          <w:rFonts w:hint="eastAsia" w:ascii="仿宋_GB2312" w:hAnsi="仿宋" w:eastAsia="仿宋_GB2312"/>
          <w:sz w:val="28"/>
          <w:szCs w:val="28"/>
        </w:rPr>
        <w:t>七、“</w:t>
      </w:r>
      <w:r>
        <w:rPr>
          <w:rStyle w:val="17"/>
          <w:rFonts w:hint="eastAsia" w:ascii="仿宋_GB2312" w:hAnsi="仿宋" w:eastAsia="仿宋_GB2312" w:cstheme="majorBidi"/>
          <w:bCs/>
          <w:sz w:val="28"/>
          <w:szCs w:val="28"/>
        </w:rPr>
        <w:t>三公”经费财政拨款支出决算情况说明</w:t>
      </w:r>
      <w:r>
        <w:rPr>
          <w:rFonts w:hint="eastAsia" w:ascii="仿宋_GB2312" w:eastAsia="仿宋_GB2312"/>
          <w:sz w:val="28"/>
          <w:szCs w:val="28"/>
        </w:rPr>
        <w:tab/>
      </w:r>
      <w:r>
        <w:rPr>
          <w:rFonts w:hint="eastAsia" w:ascii="仿宋_GB2312" w:eastAsia="仿宋_GB2312"/>
          <w:sz w:val="28"/>
          <w:szCs w:val="28"/>
        </w:rPr>
        <w:t>18</w:t>
      </w:r>
      <w:r>
        <w:rPr>
          <w:rFonts w:hint="eastAsia" w:ascii="仿宋_GB2312" w:eastAsia="仿宋_GB2312"/>
          <w:sz w:val="28"/>
          <w:szCs w:val="28"/>
        </w:rPr>
        <w:fldChar w:fldCharType="end"/>
      </w:r>
    </w:p>
    <w:p>
      <w:pPr>
        <w:pStyle w:val="12"/>
        <w:spacing w:line="560" w:lineRule="exact"/>
        <w:ind w:left="0" w:leftChars="0" w:firstLine="420" w:firstLineChars="200"/>
        <w:rPr>
          <w:rFonts w:ascii="仿宋_GB2312" w:eastAsia="仿宋_GB2312" w:cstheme="minorBidi"/>
          <w:sz w:val="28"/>
          <w:szCs w:val="28"/>
        </w:rPr>
      </w:pPr>
      <w:r>
        <w:fldChar w:fldCharType="begin"/>
      </w:r>
      <w:r>
        <w:instrText xml:space="preserve"> HYPERLINK \l "_Toc15396610" </w:instrText>
      </w:r>
      <w:r>
        <w:fldChar w:fldCharType="separate"/>
      </w:r>
      <w:r>
        <w:rPr>
          <w:rStyle w:val="17"/>
          <w:rFonts w:hint="eastAsia" w:ascii="仿宋_GB2312" w:hAnsi="仿宋" w:eastAsia="仿宋_GB2312"/>
          <w:sz w:val="28"/>
          <w:szCs w:val="28"/>
        </w:rPr>
        <w:t>八、</w:t>
      </w:r>
      <w:r>
        <w:rPr>
          <w:rStyle w:val="17"/>
          <w:rFonts w:hint="eastAsia" w:ascii="仿宋_GB2312" w:hAnsi="仿宋" w:eastAsia="仿宋_GB2312" w:cstheme="majorBidi"/>
          <w:bCs/>
          <w:sz w:val="28"/>
          <w:szCs w:val="28"/>
        </w:rPr>
        <w:t>政府性基金预算支出决算情况说明</w:t>
      </w:r>
      <w:r>
        <w:rPr>
          <w:rFonts w:hint="eastAsia" w:ascii="仿宋_GB2312" w:eastAsia="仿宋_GB2312"/>
          <w:sz w:val="28"/>
          <w:szCs w:val="28"/>
        </w:rPr>
        <w:tab/>
      </w:r>
      <w:r>
        <w:rPr>
          <w:rFonts w:hint="eastAsia" w:ascii="仿宋_GB2312" w:eastAsia="仿宋_GB2312"/>
          <w:sz w:val="28"/>
          <w:szCs w:val="28"/>
        </w:rPr>
        <w:t>20</w:t>
      </w:r>
      <w:r>
        <w:rPr>
          <w:rFonts w:hint="eastAsia" w:ascii="仿宋_GB2312" w:eastAsia="仿宋_GB2312"/>
          <w:sz w:val="28"/>
          <w:szCs w:val="28"/>
        </w:rPr>
        <w:fldChar w:fldCharType="end"/>
      </w:r>
    </w:p>
    <w:p>
      <w:pPr>
        <w:pStyle w:val="12"/>
        <w:spacing w:line="560" w:lineRule="exact"/>
        <w:ind w:left="0" w:leftChars="0" w:firstLine="420" w:firstLineChars="200"/>
        <w:rPr>
          <w:rFonts w:ascii="仿宋_GB2312" w:eastAsia="仿宋_GB2312"/>
          <w:sz w:val="28"/>
          <w:szCs w:val="28"/>
        </w:rPr>
      </w:pPr>
      <w:r>
        <w:fldChar w:fldCharType="begin"/>
      </w:r>
      <w:r>
        <w:instrText xml:space="preserve"> HYPERLINK \l "_Toc15396611" </w:instrText>
      </w:r>
      <w:r>
        <w:fldChar w:fldCharType="separate"/>
      </w:r>
      <w:r>
        <w:rPr>
          <w:rStyle w:val="17"/>
          <w:rFonts w:hint="eastAsia" w:ascii="仿宋_GB2312" w:hAnsi="仿宋" w:eastAsia="仿宋_GB2312" w:cstheme="majorBidi"/>
          <w:bCs/>
          <w:sz w:val="28"/>
          <w:szCs w:val="28"/>
          <w:u w:val="none"/>
        </w:rPr>
        <w:t>九、</w:t>
      </w:r>
      <w:r>
        <w:rPr>
          <w:rStyle w:val="17"/>
          <w:rFonts w:hint="eastAsia" w:ascii="仿宋_GB2312" w:hAnsi="仿宋" w:eastAsia="仿宋_GB2312"/>
          <w:sz w:val="28"/>
          <w:szCs w:val="28"/>
          <w:u w:val="none"/>
        </w:rPr>
        <w:t>国</w:t>
      </w:r>
      <w:r>
        <w:rPr>
          <w:rStyle w:val="17"/>
          <w:rFonts w:hint="eastAsia" w:ascii="仿宋_GB2312" w:hAnsi="仿宋" w:eastAsia="仿宋_GB2312" w:cstheme="majorBidi"/>
          <w:bCs/>
          <w:sz w:val="28"/>
          <w:szCs w:val="28"/>
          <w:u w:val="none"/>
        </w:rPr>
        <w:t>有资本经营预算支出决算情况说明</w:t>
      </w:r>
      <w:r>
        <w:rPr>
          <w:rFonts w:hint="eastAsia" w:ascii="仿宋_GB2312" w:eastAsia="仿宋_GB2312"/>
          <w:sz w:val="28"/>
          <w:szCs w:val="28"/>
        </w:rPr>
        <w:tab/>
      </w:r>
      <w:r>
        <w:rPr>
          <w:rFonts w:hint="eastAsia" w:ascii="仿宋_GB2312" w:eastAsia="仿宋_GB2312"/>
          <w:sz w:val="28"/>
          <w:szCs w:val="28"/>
        </w:rPr>
        <w:t>20</w:t>
      </w:r>
      <w:r>
        <w:rPr>
          <w:rFonts w:hint="eastAsia" w:ascii="仿宋_GB2312" w:eastAsia="仿宋_GB2312"/>
          <w:sz w:val="28"/>
          <w:szCs w:val="28"/>
        </w:rPr>
        <w:fldChar w:fldCharType="end"/>
      </w:r>
    </w:p>
    <w:p>
      <w:pPr>
        <w:spacing w:line="560" w:lineRule="exact"/>
        <w:ind w:firstLine="560" w:firstLineChars="200"/>
        <w:rPr>
          <w:rFonts w:ascii="仿宋_GB2312" w:eastAsia="仿宋_GB2312"/>
          <w:sz w:val="28"/>
          <w:szCs w:val="28"/>
        </w:rPr>
      </w:pPr>
      <w:r>
        <w:rPr>
          <w:rStyle w:val="17"/>
          <w:rFonts w:hint="eastAsia" w:ascii="仿宋_GB2312" w:hAnsi="仿宋" w:eastAsia="仿宋_GB2312" w:cstheme="majorBidi"/>
          <w:bCs/>
          <w:color w:val="000000" w:themeColor="text1"/>
          <w:sz w:val="28"/>
          <w:szCs w:val="28"/>
          <w:u w:val="none"/>
          <w14:textFill>
            <w14:solidFill>
              <w14:schemeClr w14:val="tx1"/>
            </w14:solidFill>
          </w14:textFill>
        </w:rPr>
        <w:t>十、其他重要事项的情况说明........................</w:t>
      </w:r>
      <w:r>
        <w:rPr>
          <w:rFonts w:hint="eastAsia" w:ascii="仿宋_GB2312" w:eastAsia="仿宋_GB2312"/>
          <w:sz w:val="28"/>
          <w:szCs w:val="28"/>
        </w:rPr>
        <w:t>.</w:t>
      </w:r>
      <w:r>
        <w:t xml:space="preserve"> </w:t>
      </w:r>
      <w:r>
        <w:rPr>
          <w:rFonts w:ascii="仿宋_GB2312" w:eastAsia="仿宋_GB2312"/>
          <w:sz w:val="28"/>
          <w:szCs w:val="28"/>
        </w:rPr>
        <w:t>..</w:t>
      </w:r>
      <w:r>
        <w:rPr>
          <w:rFonts w:hint="eastAsia" w:ascii="仿宋_GB2312" w:eastAsia="仿宋_GB2312"/>
          <w:sz w:val="28"/>
          <w:szCs w:val="28"/>
        </w:rPr>
        <w:t>20</w:t>
      </w:r>
    </w:p>
    <w:p>
      <w:pPr>
        <w:pStyle w:val="10"/>
        <w:rPr>
          <w:rFonts w:ascii="仿宋_GB2312" w:eastAsia="仿宋_GB2312" w:cstheme="minorBidi"/>
        </w:rPr>
      </w:pPr>
      <w:r>
        <w:fldChar w:fldCharType="begin"/>
      </w:r>
      <w:r>
        <w:instrText xml:space="preserve"> HYPERLINK \l "_Toc15396613" </w:instrText>
      </w:r>
      <w:r>
        <w:fldChar w:fldCharType="separate"/>
      </w:r>
      <w:r>
        <w:rPr>
          <w:rStyle w:val="17"/>
          <w:rFonts w:hint="eastAsia" w:ascii="仿宋_GB2312" w:eastAsia="仿宋_GB2312"/>
          <w:bCs/>
          <w:kern w:val="44"/>
          <w:u w:val="none"/>
        </w:rPr>
        <w:t>第三部分</w:t>
      </w:r>
      <w:r>
        <w:rPr>
          <w:rStyle w:val="17"/>
          <w:rFonts w:hint="eastAsia" w:ascii="仿宋_GB2312" w:eastAsia="仿宋_GB2312"/>
          <w:u w:val="none"/>
        </w:rPr>
        <w:t xml:space="preserve"> 名</w:t>
      </w:r>
      <w:r>
        <w:rPr>
          <w:rStyle w:val="17"/>
          <w:rFonts w:hint="eastAsia" w:ascii="仿宋_GB2312" w:eastAsia="仿宋_GB2312"/>
          <w:bCs/>
          <w:kern w:val="44"/>
          <w:u w:val="none"/>
        </w:rPr>
        <w:t>词解释</w:t>
      </w:r>
      <w:r>
        <w:rPr>
          <w:rFonts w:hint="eastAsia" w:ascii="仿宋_GB2312" w:eastAsia="仿宋_GB2312"/>
        </w:rPr>
        <w:tab/>
      </w:r>
      <w:r>
        <w:rPr>
          <w:rFonts w:hint="eastAsia" w:ascii="仿宋_GB2312" w:hAnsi="Times New Roman" w:eastAsia="仿宋_GB2312"/>
        </w:rPr>
        <w:t>29</w:t>
      </w:r>
      <w:r>
        <w:rPr>
          <w:rFonts w:hint="eastAsia" w:ascii="仿宋_GB2312" w:hAnsi="Times New Roman" w:eastAsia="仿宋_GB2312"/>
        </w:rPr>
        <w:fldChar w:fldCharType="end"/>
      </w:r>
    </w:p>
    <w:p>
      <w:pPr>
        <w:pStyle w:val="10"/>
        <w:rPr>
          <w:rFonts w:ascii="仿宋_GB2312" w:eastAsia="仿宋_GB2312" w:cstheme="minorBidi"/>
        </w:rPr>
      </w:pPr>
      <w:r>
        <w:rPr>
          <w:rFonts w:hint="eastAsia" w:ascii="仿宋_GB2312" w:eastAsia="仿宋_GB2312"/>
        </w:rPr>
        <w:t>第四部分  附件</w:t>
      </w:r>
      <w:r>
        <w:rPr>
          <w:rFonts w:hint="eastAsia" w:ascii="仿宋_GB2312" w:eastAsia="仿宋_GB2312"/>
        </w:rPr>
        <w:tab/>
      </w:r>
      <w:r>
        <w:rPr>
          <w:rFonts w:hint="eastAsia" w:ascii="仿宋_GB2312" w:eastAsia="仿宋_GB2312"/>
        </w:rPr>
        <w:t>32</w:t>
      </w:r>
    </w:p>
    <w:p>
      <w:pPr>
        <w:widowControl/>
        <w:spacing w:line="560" w:lineRule="exact"/>
        <w:rPr>
          <w:rFonts w:ascii="仿宋_GB2312" w:hAnsi="黑体" w:eastAsia="仿宋_GB2312" w:cstheme="minorBidi"/>
          <w:sz w:val="28"/>
          <w:szCs w:val="28"/>
        </w:rPr>
      </w:pPr>
      <w:r>
        <w:rPr>
          <w:rFonts w:hint="eastAsia" w:ascii="仿宋_GB2312" w:hAnsi="仿宋" w:eastAsia="仿宋_GB2312"/>
          <w:color w:val="000000"/>
          <w:sz w:val="28"/>
          <w:szCs w:val="28"/>
        </w:rPr>
        <w:fldChar w:fldCharType="end"/>
      </w:r>
      <w:r>
        <w:rPr>
          <w:rFonts w:hint="eastAsia" w:ascii="仿宋_GB2312" w:hAnsi="黑体" w:eastAsia="仿宋_GB2312" w:cstheme="minorBidi"/>
          <w:sz w:val="28"/>
          <w:szCs w:val="28"/>
        </w:rPr>
        <w:t>第五部分  附表</w:t>
      </w:r>
    </w:p>
    <w:p>
      <w:pPr>
        <w:pStyle w:val="12"/>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一、收入支出决算总表</w:t>
      </w:r>
    </w:p>
    <w:p>
      <w:pPr>
        <w:pStyle w:val="12"/>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二、收入决算表</w:t>
      </w:r>
    </w:p>
    <w:p>
      <w:pPr>
        <w:pStyle w:val="12"/>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三、支出决算表</w:t>
      </w:r>
    </w:p>
    <w:p>
      <w:pPr>
        <w:pStyle w:val="12"/>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四、财政拨款收入支出决算总表</w:t>
      </w:r>
    </w:p>
    <w:p>
      <w:pPr>
        <w:pStyle w:val="12"/>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五、财政拨款支出决算明细表</w:t>
      </w:r>
    </w:p>
    <w:p>
      <w:pPr>
        <w:pStyle w:val="12"/>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六、一般公共预算财政拨款支出决算表</w:t>
      </w:r>
    </w:p>
    <w:p>
      <w:pPr>
        <w:pStyle w:val="12"/>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七、一般公共预算财政拨款支出决算明细表</w:t>
      </w:r>
    </w:p>
    <w:p>
      <w:pPr>
        <w:pStyle w:val="12"/>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八、一般公共预算财政拨款基本支出决算表</w:t>
      </w:r>
    </w:p>
    <w:p>
      <w:pPr>
        <w:pStyle w:val="12"/>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九、一般公共预算财政拨款项目支出决算表</w:t>
      </w:r>
    </w:p>
    <w:p>
      <w:pPr>
        <w:pStyle w:val="12"/>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十、一般公共预算财政拨款“三公”经费支出决算表</w:t>
      </w:r>
    </w:p>
    <w:p>
      <w:pPr>
        <w:pStyle w:val="12"/>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十一、政府性基金预算财政拨款收入支出决算表</w:t>
      </w:r>
    </w:p>
    <w:p>
      <w:pPr>
        <w:pStyle w:val="12"/>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十二、政府性基金预算财政拨款“三公”经费支出决算表</w:t>
      </w:r>
    </w:p>
    <w:p>
      <w:pPr>
        <w:pStyle w:val="12"/>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十三、国有资本经营预算财政拨款收入支出决算表</w:t>
      </w:r>
    </w:p>
    <w:p>
      <w:pPr>
        <w:pStyle w:val="12"/>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十四、国有资本经营预算财政拨款支出决算表</w:t>
      </w:r>
    </w:p>
    <w:p>
      <w:pPr>
        <w:widowControl/>
        <w:jc w:val="left"/>
        <w:rPr>
          <w:rFonts w:ascii="仿宋" w:hAnsi="仿宋" w:eastAsia="仿宋"/>
          <w:color w:val="000000"/>
          <w:sz w:val="24"/>
        </w:rPr>
      </w:pPr>
    </w:p>
    <w:p>
      <w:pPr>
        <w:widowControl/>
        <w:jc w:val="left"/>
        <w:rPr>
          <w:rFonts w:ascii="黑体" w:hAnsi="黑体" w:eastAsia="黑体"/>
          <w:bCs/>
          <w:kern w:val="44"/>
          <w:sz w:val="44"/>
          <w:szCs w:val="44"/>
        </w:rPr>
      </w:pPr>
      <w:bookmarkStart w:id="12" w:name="_Toc15396599"/>
      <w:bookmarkStart w:id="13" w:name="_Toc15377196"/>
    </w:p>
    <w:p>
      <w:pPr>
        <w:pStyle w:val="2"/>
        <w:jc w:val="center"/>
        <w:rPr>
          <w:rFonts w:ascii="黑体" w:hAnsi="黑体" w:eastAsia="黑体"/>
          <w:b w:val="0"/>
        </w:rPr>
      </w:pPr>
    </w:p>
    <w:p>
      <w:pPr>
        <w:pStyle w:val="2"/>
        <w:jc w:val="center"/>
        <w:rPr>
          <w:rFonts w:ascii="黑体" w:hAnsi="黑体" w:eastAsia="黑体"/>
          <w:b w:val="0"/>
        </w:rPr>
      </w:pPr>
    </w:p>
    <w:p/>
    <w:p/>
    <w:p>
      <w:pPr>
        <w:pStyle w:val="2"/>
        <w:jc w:val="center"/>
        <w:rPr>
          <w:rFonts w:ascii="黑体" w:hAnsi="黑体" w:eastAsia="黑体"/>
          <w:bCs w:val="0"/>
        </w:rPr>
      </w:pPr>
      <w:r>
        <w:rPr>
          <w:rFonts w:hint="eastAsia" w:ascii="黑体" w:hAnsi="黑体" w:eastAsia="黑体"/>
          <w:b w:val="0"/>
        </w:rPr>
        <w:t xml:space="preserve">第一部分 </w:t>
      </w:r>
      <w:r>
        <w:rPr>
          <w:rStyle w:val="28"/>
          <w:rFonts w:hint="eastAsia" w:ascii="黑体" w:hAnsi="黑体" w:eastAsia="黑体"/>
          <w:b w:val="0"/>
          <w:bCs w:val="0"/>
        </w:rPr>
        <w:t>部门概况</w:t>
      </w:r>
      <w:bookmarkEnd w:id="12"/>
      <w:bookmarkEnd w:id="13"/>
    </w:p>
    <w:p>
      <w:pPr>
        <w:spacing w:line="520" w:lineRule="exact"/>
        <w:ind w:firstLine="799" w:firstLineChars="249"/>
        <w:rPr>
          <w:rStyle w:val="18"/>
          <w:rFonts w:ascii="黑体" w:hAnsi="黑体" w:eastAsia="黑体"/>
          <w:b w:val="0"/>
        </w:rPr>
      </w:pPr>
      <w:bookmarkStart w:id="14" w:name="_Toc15377197"/>
      <w:bookmarkStart w:id="15" w:name="_Toc15396600"/>
      <w:r>
        <w:rPr>
          <w:rStyle w:val="18"/>
          <w:rFonts w:hint="eastAsia" w:ascii="黑体" w:hAnsi="黑体" w:eastAsia="黑体"/>
        </w:rPr>
        <w:t>一、基</w:t>
      </w:r>
      <w:r>
        <w:rPr>
          <w:rStyle w:val="18"/>
          <w:rFonts w:hint="eastAsia" w:ascii="黑体" w:hAnsi="黑体" w:eastAsia="黑体"/>
          <w:b w:val="0"/>
        </w:rPr>
        <w:t>本职能及主要工作</w:t>
      </w:r>
      <w:bookmarkEnd w:id="14"/>
      <w:bookmarkEnd w:id="15"/>
    </w:p>
    <w:p>
      <w:pPr>
        <w:pStyle w:val="5"/>
        <w:adjustRightInd w:val="0"/>
        <w:snapToGrid w:val="0"/>
        <w:spacing w:beforeLines="0" w:line="580" w:lineRule="exact"/>
        <w:ind w:firstLine="642" w:firstLineChars="200"/>
        <w:rPr>
          <w:rFonts w:hAnsi="宋体"/>
          <w:sz w:val="32"/>
          <w:szCs w:val="32"/>
        </w:rPr>
      </w:pPr>
      <w:bookmarkStart w:id="16" w:name="_Toc15378445"/>
      <w:bookmarkStart w:id="17" w:name="_Toc15377198"/>
      <w:r>
        <w:rPr>
          <w:rFonts w:hint="eastAsia" w:ascii="楷体" w:hAnsi="楷体" w:eastAsia="楷体"/>
          <w:b/>
          <w:sz w:val="32"/>
          <w:szCs w:val="32"/>
        </w:rPr>
        <w:t>（一）主要职能</w:t>
      </w:r>
      <w:r>
        <w:rPr>
          <w:rFonts w:hint="eastAsia" w:ascii="楷体" w:hAnsi="楷体" w:eastAsia="楷体"/>
          <w:b/>
          <w:bCs/>
          <w:color w:val="000000"/>
          <w:sz w:val="32"/>
          <w:szCs w:val="32"/>
        </w:rPr>
        <w:t>。</w:t>
      </w:r>
      <w:bookmarkEnd w:id="16"/>
      <w:bookmarkEnd w:id="17"/>
      <w:bookmarkStart w:id="18" w:name="_Toc15377199"/>
      <w:bookmarkStart w:id="19" w:name="_Toc15378446"/>
      <w:r>
        <w:rPr>
          <w:rFonts w:hint="eastAsia" w:hAnsi="宋体"/>
          <w:sz w:val="32"/>
          <w:szCs w:val="32"/>
        </w:rPr>
        <w:t>完成国家、省下达的重大疾病预防控制的指令性任务，实施疾病预防控制规划方案，组织开展本地疾病暴发调查处理和报告；负责辖区计划内疫苗管理，组织实施预防接种工作；调查突发公共卫生事件的危险因素，并实施应急控制措施；开展常见病原微生物检验检测和常见毒物、污染物的检验鉴定；开展疾病监测和食品卫生、职业卫生、放射卫生、环境卫生等领域健康危害因素监测，管理辖区疫情及相关公共卫生信息；承担卫生行政部门委托的与卫生监督执法相关的检验检测任务，组织开展健康教育与健康促进；负责对下级疾病预防控制机构的业务指导、人员培训和业务考核；指导辖区内医疗卫生机构传染病防治工作。</w:t>
      </w:r>
    </w:p>
    <w:bookmarkEnd w:id="18"/>
    <w:bookmarkEnd w:id="19"/>
    <w:p>
      <w:pPr>
        <w:spacing w:line="560" w:lineRule="exact"/>
        <w:ind w:firstLine="642" w:firstLineChars="200"/>
        <w:rPr>
          <w:rFonts w:ascii="仿宋_GB2312" w:hAnsi="宋体" w:eastAsia="仿宋_GB2312"/>
          <w:kern w:val="0"/>
          <w:sz w:val="32"/>
          <w:szCs w:val="32"/>
        </w:rPr>
      </w:pPr>
      <w:bookmarkStart w:id="20" w:name="_Toc15396601"/>
      <w:bookmarkStart w:id="21" w:name="_Toc15377200"/>
      <w:r>
        <w:rPr>
          <w:rFonts w:hint="eastAsia" w:ascii="楷体" w:hAnsi="楷体" w:eastAsia="楷体"/>
          <w:b/>
          <w:kern w:val="0"/>
          <w:sz w:val="32"/>
          <w:szCs w:val="32"/>
        </w:rPr>
        <w:t>（二）2020年重点工作完成情况。</w:t>
      </w:r>
      <w:r>
        <w:rPr>
          <w:rFonts w:hint="eastAsia" w:ascii="仿宋_GB2312" w:hAnsi="宋体" w:eastAsia="仿宋_GB2312"/>
          <w:kern w:val="0"/>
          <w:sz w:val="32"/>
          <w:szCs w:val="32"/>
        </w:rPr>
        <w:t>2020年，在市委、市政府和市卫生健康委的坚强领导、省疾控中心有力指导下，坚持以习近平新时代中国特色社会主义思想为指导，全面落实“预防为主”方针，坚决打赢疫情防控阻击战，切实履行公共卫生职能职责，高效完成疾病预防控制各项工作任务，为保障全市人民群众身体健康，加快推进健康巴中建设做出了积极贡献。</w:t>
      </w:r>
    </w:p>
    <w:p>
      <w:pPr>
        <w:spacing w:line="560" w:lineRule="exact"/>
        <w:ind w:firstLine="642" w:firstLineChars="200"/>
        <w:rPr>
          <w:rFonts w:ascii="仿宋_GB2312" w:eastAsia="仿宋_GB2312" w:hAnsiTheme="majorEastAsia"/>
          <w:b/>
          <w:bCs/>
          <w:sz w:val="32"/>
          <w:szCs w:val="32"/>
        </w:rPr>
      </w:pPr>
      <w:r>
        <w:rPr>
          <w:rFonts w:hint="eastAsia" w:ascii="仿宋_GB2312" w:eastAsia="仿宋_GB2312" w:hAnsiTheme="majorEastAsia"/>
          <w:b/>
          <w:bCs/>
          <w:sz w:val="32"/>
          <w:szCs w:val="32"/>
        </w:rPr>
        <w:t>1.扛牢压实政治责任，全面加强从严管党治党。</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坚决贯彻落实中央和省市重大决策部署。提高政治站位，旗帜鲜明的讲政治，坚定不移以习近平新时代中国特色社会主义思想为指导，深入贯彻落实党的十九届五中全会和省委十一届七次、八次全会以及市委四届十次、十一次全会精神，树牢“四个意识”，坚定“四个自信”，做到“两个维护”，不折不扣地贯彻执行中央、省委、市委及市卫生健康委党组的决策部署。</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（2）切实加强党组织规范化建设。按照党组织规范化建设和“三分类三升级”要求，扎实推进党支部“五个好”和“五个规范化”建设。持续、巩固、深化开展“不忘初心 牢记使命”主题教育，常态化制度化开展“两学一做”学习教育，严格落实“三会一课”制度，规范开展主题党日活动，认真开好民主生活会和组织生活会，做好民主评议党员，积极发展党员，强化党员日常管理。全年共组织召开支部党员大会5次，支委会23次，党课5次，开展主题党日活动12次，每个党小组召开党小组会12次，集中专题辅导讲座5次，组织观看专题片5次，志愿服务2次。发展正式党员1名、预备党员1名、发展对象1名、入党积极分子2名。2020年“七一”前夕，中心党支部荣获“市直机关优秀基层党组织”称号。</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（3）扎实开展党风廉政建设和反腐败工作。全面落实党风廉政建设和反腐败工作主体责任和一岗双责，认真学习《</w:t>
      </w:r>
      <w:r>
        <w:rPr>
          <w:rFonts w:hint="eastAsia" w:ascii="仿宋_GB2312" w:hAnsi="宋体" w:eastAsia="仿宋_GB2312"/>
          <w:kern w:val="0"/>
          <w:sz w:val="32"/>
          <w:szCs w:val="32"/>
          <w:lang w:val="en-US" w:eastAsia="zh-CN"/>
        </w:rPr>
        <w:t>中国共产党章程</w:t>
      </w:r>
      <w:r>
        <w:rPr>
          <w:rFonts w:hint="eastAsia" w:ascii="仿宋_GB2312" w:hAnsi="宋体" w:eastAsia="仿宋_GB2312"/>
          <w:kern w:val="0"/>
          <w:sz w:val="32"/>
          <w:szCs w:val="32"/>
        </w:rPr>
        <w:t>》《廉洁自律准则》《问责条例》《</w:t>
      </w:r>
      <w:r>
        <w:rPr>
          <w:rFonts w:hint="eastAsia" w:ascii="仿宋_GB2312" w:hAnsi="宋体" w:eastAsia="仿宋_GB2312"/>
          <w:kern w:val="0"/>
          <w:sz w:val="32"/>
          <w:szCs w:val="32"/>
          <w:lang w:eastAsia="zh-CN"/>
        </w:rPr>
        <w:t>中国</w:t>
      </w:r>
      <w:bookmarkStart w:id="60" w:name="_GoBack"/>
      <w:bookmarkEnd w:id="60"/>
      <w:r>
        <w:rPr>
          <w:rFonts w:hint="eastAsia" w:ascii="仿宋_GB2312" w:hAnsi="宋体" w:eastAsia="仿宋_GB2312"/>
          <w:kern w:val="0"/>
          <w:sz w:val="32"/>
          <w:szCs w:val="32"/>
          <w:lang w:eastAsia="zh-CN"/>
        </w:rPr>
        <w:t>共产党</w:t>
      </w:r>
      <w:r>
        <w:rPr>
          <w:rFonts w:hint="eastAsia" w:ascii="仿宋_GB2312" w:hAnsi="宋体" w:eastAsia="仿宋_GB2312"/>
          <w:kern w:val="0"/>
          <w:sz w:val="32"/>
          <w:szCs w:val="32"/>
        </w:rPr>
        <w:t>纪律处分条例》和《党内监督条例》等党规党纪，加强警示教育，筑牢思想防线；层层签订了党风廉政建设和反腐败工作目标责任书，明确了责任划分；切实开展行业作风整治，强力整顿中梗阻。全年专题研究党风廉政建设和反腐败工作3次，讲廉政党课2次，组织召开党风廉政建设和反腐败工作会暨中层干部述责述廉和廉政约谈会议1次,组织观看警示教育片1次，组织党员干部赴廉政教育基地接受廉政教育1次。</w:t>
      </w:r>
    </w:p>
    <w:p>
      <w:pPr>
        <w:spacing w:line="560" w:lineRule="exact"/>
        <w:ind w:firstLine="642" w:firstLineChars="200"/>
        <w:rPr>
          <w:rFonts w:ascii="仿宋_GB2312" w:eastAsia="仿宋_GB2312" w:hAnsiTheme="majorEastAsia"/>
          <w:b/>
          <w:bCs/>
          <w:sz w:val="32"/>
          <w:szCs w:val="32"/>
        </w:rPr>
      </w:pPr>
      <w:r>
        <w:rPr>
          <w:rFonts w:hint="eastAsia" w:ascii="仿宋_GB2312" w:eastAsia="仿宋_GB2312" w:hAnsiTheme="majorEastAsia"/>
          <w:b/>
          <w:bCs/>
          <w:sz w:val="32"/>
          <w:szCs w:val="32"/>
        </w:rPr>
        <w:t>2.勇于担当作为，坚决打赢新冠肺炎疫情防控阻击战。</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面对突如其来的新冠肺炎疫情，中心全体干部职工坚持以习近平总书记系列重要指示精神武装头脑、指导实践，坚定落实党中央、省、市部署要求，把打赢疫情防控阻击战作为重大政治任务，坚持“一盘棋”指挥调度、“模块化”联防联控、“标杆式”担当作为，带领全体“疾控人”在防控疫情一线砥砺初心，践行使命，彰显作为。自疫情发生以来，全市24例确诊病例中，本地病例仅3例，较全省同期低86.12%，没有一例三代病例。南江县保持了新冠肺炎病例“零感染”，充分发挥了疾病预防控制机构战“疫”的中坚作用。全年核酸检测新冠病毒样本29164份，准确率100%。抗疫期间全体干部职工坚守岗位，涌现出大批甘于奉献、坚守一线、弃假请缨、带病战“疫”、“撕票”返岗等先进事迹。针对新冠肺炎疫情进行全面宣传，编印疫情防控宣传单10种共30余万份，海报3类20000余份，移动群发公益信息16万余条，门户网站防控知识推送40余篇，LED宣传显示屏全天24小时播放新型冠状病毒感染的肺炎防治知识10余条，通过电视台滚动播放预防新冠防病知识。邀约川报观察、巴中日报、巴中电视台等新闻媒体现场直击市疾控中心实验室新冠病毒核酸检测过程，并在相关媒体和电视台刊播。</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在新冠肺炎疫情防控中，充分发挥战“疫”先锋模范作用，集体荣获全省“新冠肺炎聚集性疫情调查报告综合评分优秀单位”，表彰为全市抗击新冠肺炎疫情先进集体和先进党组织，中心党支部书记、主任赵俊明荣获四川省抗击新冠肺炎疫情“先进个人”和“优秀共产党员”称号,蔡帆舟、罗小虎、张立泉、罗熙平、吴开学荣获巴中市抗击新冠肺炎疫情“先进个人”称号。</w:t>
      </w:r>
    </w:p>
    <w:p>
      <w:pPr>
        <w:spacing w:line="560" w:lineRule="exact"/>
        <w:ind w:firstLine="642" w:firstLineChars="200"/>
        <w:rPr>
          <w:rFonts w:ascii="仿宋_GB2312" w:eastAsia="仿宋_GB2312" w:hAnsiTheme="majorEastAsia"/>
          <w:b/>
          <w:bCs/>
          <w:sz w:val="32"/>
          <w:szCs w:val="32"/>
        </w:rPr>
      </w:pPr>
      <w:r>
        <w:rPr>
          <w:rFonts w:hint="eastAsia" w:ascii="仿宋_GB2312" w:eastAsia="仿宋_GB2312" w:hAnsiTheme="majorEastAsia"/>
          <w:b/>
          <w:bCs/>
          <w:sz w:val="32"/>
          <w:szCs w:val="32"/>
        </w:rPr>
        <w:t>3.以为民服务为宗旨，全面提升疾控工作能力。</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以全市人民健康需求为着力点，秉持为民服务的初心，当好人民群众健康守门人。一是充实卫生人才队伍，不断引进专业技术人员，2020年引进专业技术人员3名；加强专业技术人员的业务技能培训，上派参加培训200余人次；制定各项鼓励措施支持职工继续深造学习。二是强化业务培训，加强对下级人员的业务培训和技术指导，举办各类培训班80余期。三是加强质量管理，及时完成182台/件仪器设备检定/校准工作。编写了中心年度质量控制计划、质量监督计划，及时完成中心的内部审核工作，及时做好检验检测标准查新，掌握并征订国家变更的新卫生标准/规范、检验方法。检验人员严格按照国家标准方法进行操作，检测报告合格率达100%，报告及时率达100%。四是不断提升传染病防控能力。认真贯彻落实《传染病防治法》，进一步建立健全传染病登记、管理和疫情报告制度，落实各项防控措施，加强突发公共卫生事件的预警监测，提高综合分析和现场处置能力，不断提升疾病防控能力和水平。</w:t>
      </w:r>
    </w:p>
    <w:p>
      <w:pPr>
        <w:spacing w:line="560" w:lineRule="exact"/>
        <w:ind w:firstLine="642" w:firstLineChars="200"/>
        <w:rPr>
          <w:rFonts w:ascii="仿宋_GB2312" w:eastAsia="仿宋_GB2312" w:hAnsiTheme="majorEastAsia"/>
          <w:b/>
          <w:bCs/>
          <w:sz w:val="32"/>
          <w:szCs w:val="32"/>
        </w:rPr>
      </w:pPr>
      <w:r>
        <w:rPr>
          <w:rFonts w:hint="eastAsia" w:ascii="仿宋_GB2312" w:eastAsia="仿宋_GB2312" w:hAnsiTheme="majorEastAsia"/>
          <w:b/>
          <w:bCs/>
          <w:sz w:val="32"/>
          <w:szCs w:val="32"/>
        </w:rPr>
        <w:t>4.积极争取项目资金，全面提升检验检测能力。</w:t>
      </w:r>
    </w:p>
    <w:p>
      <w:pPr>
        <w:spacing w:line="560" w:lineRule="exact"/>
        <w:ind w:firstLine="640" w:firstLineChars="200"/>
        <w:rPr>
          <w:rFonts w:ascii="仿宋_GB2312" w:hAnsi="仿宋" w:eastAsia="仿宋_GB2312"/>
          <w:sz w:val="32"/>
          <w:szCs w:val="32"/>
        </w:rPr>
      </w:pPr>
      <w:r>
        <w:rPr>
          <w:rFonts w:hint="eastAsia" w:ascii="仿宋_GB2312" w:hAnsi="宋体" w:eastAsia="仿宋_GB2312"/>
          <w:kern w:val="0"/>
          <w:sz w:val="32"/>
          <w:szCs w:val="32"/>
        </w:rPr>
        <w:t>为认真贯彻落实党中央国务院、省委省政府、市委市政府对疫情防控工作的决策部署，我中心根据《全国新型冠状病毒感染的肺炎防控方案》开展疫情监测、样本采集、病毒核酸检测、流行病学调查和处置等工作，为提升应对新冠肺炎疫情爆发、食物中毒、职业卫生中毒等突发公共卫生事件的处置能力，积极向市财政局申请抗疫特别国债资金，争取到抗疫特别国债资金2600万元，购买检验仪器设备130余台（件），改造P2负压实验室（新冠肺炎病毒检测）一间，目前相关设备已全部购置到位。</w:t>
      </w:r>
    </w:p>
    <w:p>
      <w:pPr>
        <w:spacing w:line="560" w:lineRule="exact"/>
        <w:ind w:firstLine="642" w:firstLineChars="200"/>
        <w:rPr>
          <w:rFonts w:ascii="仿宋_GB2312" w:eastAsia="仿宋_GB2312" w:hAnsiTheme="majorEastAsia"/>
          <w:b/>
          <w:bCs/>
          <w:sz w:val="32"/>
          <w:szCs w:val="32"/>
        </w:rPr>
      </w:pPr>
      <w:r>
        <w:rPr>
          <w:rFonts w:hint="eastAsia" w:ascii="仿宋_GB2312" w:eastAsia="仿宋_GB2312" w:hAnsiTheme="majorEastAsia"/>
          <w:b/>
          <w:bCs/>
          <w:sz w:val="32"/>
          <w:szCs w:val="32"/>
        </w:rPr>
        <w:t>5.坚持预防为主，全面推进疾病预防控制工作。</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（1）传染病防控水平名列全省第2位。2020年全市共报告法定传染病（按审核日期统计）2类22种9425例,报告发病率283.97/10万，较全省平均报告发病率低27.04%，传染病控制水平居全省21个市（州）第2位。</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重点传染病防控扎实推进。一是进一步健全了综合防控体系。严格落实“一把手”责任制，认真落实各项防控措施和“四免一关怀”政策。2020年全市全人群艾滋病病毒抗体检测覆盖率达34.88%，新发现艾滋病感染者及艾滋病病人246人，感染者和病人抗病毒治疗覆盖率93.24%，抗病毒治疗成功率94.58%，感染者和病人随访检测率92.73%，单阳家庭配偶检测率89.64%，感染者和病人结核病筛查率98.69%，未发生母婴传播。二是积极开展结核病疫情监测、病人治疗管理、健康促进和教育、实验室建设、综合防治示范区建设、耐多药监测、新型服务体系建设等工作。全市2020年非结防机构报告肺结核/疑似肺结核总体到位率97.11%，初诊患者查痰率99.78%，涂阳患者密切接触者查痰率100%，登记报告管理肺结核1767人，肺结核患者成功治疗率97.00%，病案录入及时率99.38%，肺结核患者规范管理率98.52%，耐多药肺结核高危人群筛查率96.58%，新病原学阳性肺结核耐药筛查率86.81%。三是积极做好流感哨点监测工作，做到了监测有方案、人员有培训、监测工作规范。建立健全了工作制度和工作流程，流感样病例报告、样品采集、实验室检测、数据报告、信息沟通等工作取得成效，2020年全市哨点医院报告2760例，门诊流感样病例比例达1.96%，流感样病例采样检测725份；网络报告流感205例，无流感及流感样病例暴发疫情。四是加强重点地区、人群布鲁氏菌病防治知识的宣传，做到病人的早发现、早报告、早治疗，全市报告布病9例，对36名密切接触者和一般接触者筛查，采集35份血样检测，阳性1份，及时处理疫源地，对疫源地羊进行捕杀和无害化处理，对排泄物及环境进行消毒，有效控制布病的传播与流行。五是2020年全市报告手足口病981例，发病较上年下降64.37%；六是其他传染病均得到有效防控。</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健康危害因素监测工作有序开展。一是积极开展城乡饮用水水质卫生监测。全市设73个城市饮用水监测点、376个农村饮用水监测点。2020年城市饮用水采样检测水样146份，合格146份，合格率为100%；农村饮用水采样检测水样752份，合格577份，合格率76.73%。二是全面监测城市供水水质卫生。巴城设置30个城市供水监测点，每月监测一次，2020年共监测市政供水360份，合格360份，合格率100.00%。三是积极开展公共场所卫生监测。2020年对355家公共场所进行监测，各类样品1658份，合格1621份，合格率97.77%。四是扎实开展食品安全风险监测。食品中化学污染物及有害因素监测，2020年全市完成9类食品共187份样品检测，1份乌鱼中检出氧氟沙星超标。食品中微生物及其致病因子监测，2020年全市完成5类食品共计265份样品检测，其中14份寿司中检出蜡样芽孢杆菌或单核细胞增生李斯特氏菌，1份生猪肉检出金黄色葡萄球菌。五是认真开展食源性疾病监测工作。2020年全市报告1起可疑聚集事件，经核实后排除，全年共报告食源性疾病事件2起，发病人数10人，死亡1人。全市共网报食源性疾病病例信息2008例，任务完成率为111.56%（2008/1800）。六是有序开展学校卫生监测工作。2020年对15所中小学校开展学校教学生活环境卫生监测，对5所中小学校、幼儿园及校外培训机构的教室采光、照明情况进行了监督抽检，完成了学生近视及其他重要常见病监测。七是继续组织实施了重点职业病监测与职业健康风险评估、职业放射性疾病监测与职业健康风险评估、医用辐射防护监测等项目工作、工作场所职业病危害因素监测、非医疗机构放射性危害因素监测工作。受理尘肺病诊断459人,诊断、报告尘肺393例；开展职业性尘肺病随访与回顾性调查8343名；开展工作场所危害因素监测企业105家；完成职业病危害现状调查企业283家。</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（4）地方病防治工作稳步推进。全市5区县均保持碘缺乏病消除状态，人群碘营养总体保持适宜水平；南江县、通江县保持大骨节病消除状态；南江县保持燃煤污染型地方性氟中毒、克山病消除状态。</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5）慢性病防治工作扎实推进。一是深入推进全市全民健康生活方式行动工作。全市全民健康生活方式行动覆盖率100%，2020年全市上报相关方案或文件信息共计12条，工作推进会4次；开展行动工作培训62次，累计培训人数1652人次；现场活动与健康讲座175次；媒体报道22次;全市累计招募健康生活方式指导员3093人。二是认真做好慢性病健康扶贫项目。2020年全市累计登记报告慢阻肺26793例，累计规范管理18254例，累计登记报告类风湿关节炎9634例，累计规范管理6821例。三是稳步推进基本公共卫生服务项目工作。2020年全市基本公共卫生服务项目执行情况较好，项目实施情况较上一年有进步和发展。全市累计建立健康档案3250639份，居民健康档案健档率97.85%；高血压患者健康管理237599人，管理率92.09％；Ⅱ型糖尿病患者健康管理58936人，管理率90.67％，在册严重精神障碍患者16410人，规范化管理96.86%；65岁及以上老年人健康管理332986人，健康管理率79.57%。</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7）免疫规划工作成绩显著。一是努力抓好常规免疫接种工作，基础免疫和加强免疫报告接种率达均在99.00%以上；免疫规划接种率抽样调查建卡建证率均达到100%，卡证符合率98.33%；基础免疫和加强免疫接种率达90.00%以上；二是加强免疫规划监测，麻疹、AFP、AEFI监测各项监测指标达标；三是加强国家免疫规划疫苗管理，全年共发放国家免疫规划疫苗485337支。积极推进非免疫规划疫苗接种工作，全市共接种非免疫规划疫苗341251剂次。四是全面推进四川省免疫规划信息系统建设，各接种单位全面启用四川省免疫规划信息管理系统，做到了接种单位信息管理系统覆盖率100%，使用率100%。五是扎实推进免疫规划冷链建设项目工作。按照中财和省财疾控机构冷链系统建设项目，建设完成25m</w:t>
      </w:r>
      <w:r>
        <w:rPr>
          <w:rFonts w:hint="eastAsia" w:ascii="宋体" w:hAnsi="宋体" w:cs="宋体"/>
          <w:kern w:val="0"/>
          <w:sz w:val="32"/>
          <w:szCs w:val="32"/>
        </w:rPr>
        <w:t>³</w:t>
      </w:r>
      <w:r>
        <w:rPr>
          <w:rFonts w:hint="eastAsia" w:ascii="仿宋_GB2312" w:hAnsi="仿宋_GB2312" w:eastAsia="仿宋_GB2312" w:cs="仿宋_GB2312"/>
          <w:kern w:val="0"/>
          <w:sz w:val="32"/>
          <w:szCs w:val="32"/>
        </w:rPr>
        <w:t>普通冷库和</w:t>
      </w:r>
      <w:r>
        <w:rPr>
          <w:rFonts w:hint="eastAsia" w:ascii="仿宋_GB2312" w:hAnsi="宋体" w:eastAsia="仿宋_GB2312"/>
          <w:kern w:val="0"/>
          <w:sz w:val="32"/>
          <w:szCs w:val="32"/>
        </w:rPr>
        <w:t>5m</w:t>
      </w:r>
      <w:r>
        <w:rPr>
          <w:rFonts w:hint="eastAsia" w:ascii="宋体" w:hAnsi="宋体" w:cs="宋体"/>
          <w:kern w:val="0"/>
          <w:sz w:val="32"/>
          <w:szCs w:val="32"/>
        </w:rPr>
        <w:t>³</w:t>
      </w:r>
      <w:r>
        <w:rPr>
          <w:rFonts w:hint="eastAsia" w:ascii="仿宋_GB2312" w:hAnsi="仿宋_GB2312" w:eastAsia="仿宋_GB2312" w:cs="仿宋_GB2312"/>
          <w:kern w:val="0"/>
          <w:sz w:val="32"/>
          <w:szCs w:val="32"/>
        </w:rPr>
        <w:t>普通冷库各一个。六是成功举办全市免疫规划技能竞赛。</w:t>
      </w:r>
      <w:r>
        <w:rPr>
          <w:rFonts w:hint="eastAsia" w:ascii="仿宋_GB2312" w:hAnsi="宋体" w:eastAsia="仿宋_GB2312"/>
          <w:kern w:val="0"/>
          <w:sz w:val="32"/>
          <w:szCs w:val="32"/>
        </w:rPr>
        <w:t>2020年9月中心承办的巴中市2020年预防接种技能竞赛活动成功举办，全市共30名选手参加了比赛，通过免疫规划技能竞赛，进一步提升了基层业务人员免疫规划综合素质和业务水平。</w:t>
      </w:r>
    </w:p>
    <w:p>
      <w:pPr>
        <w:spacing w:line="520" w:lineRule="exact"/>
        <w:ind w:firstLine="796" w:firstLineChars="249"/>
        <w:rPr>
          <w:rStyle w:val="18"/>
          <w:rFonts w:ascii="黑体" w:hAnsi="黑体" w:eastAsia="黑体"/>
          <w:b w:val="0"/>
        </w:rPr>
      </w:pPr>
      <w:r>
        <w:rPr>
          <w:rStyle w:val="18"/>
          <w:rFonts w:hint="eastAsia" w:ascii="黑体" w:hAnsi="黑体" w:eastAsia="黑体"/>
          <w:b w:val="0"/>
        </w:rPr>
        <w:t>二、机构设置</w:t>
      </w:r>
      <w:bookmarkEnd w:id="20"/>
      <w:bookmarkEnd w:id="21"/>
    </w:p>
    <w:p>
      <w:pPr>
        <w:ind w:firstLine="800" w:firstLineChars="250"/>
        <w:rPr>
          <w:rFonts w:ascii="仿宋_GB2312" w:hAnsi="宋体" w:eastAsia="仿宋_GB2312"/>
          <w:kern w:val="0"/>
          <w:sz w:val="32"/>
          <w:szCs w:val="32"/>
        </w:rPr>
      </w:pPr>
      <w:r>
        <w:rPr>
          <w:rFonts w:hint="eastAsia" w:ascii="仿宋_GB2312" w:hAnsi="宋体" w:eastAsia="仿宋_GB2312"/>
          <w:kern w:val="0"/>
          <w:sz w:val="32"/>
          <w:szCs w:val="32"/>
        </w:rPr>
        <w:t>巴中市疾病预防控制中心属巴中市卫生健康委员会二级预算事业单位，全额财政拨款单位数1个。纳入2020年度部门决算编制范围单位数1个。</w:t>
      </w:r>
    </w:p>
    <w:p>
      <w:pPr>
        <w:pStyle w:val="2"/>
        <w:ind w:right="440"/>
        <w:jc w:val="right"/>
        <w:rPr>
          <w:rStyle w:val="28"/>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8"/>
          <w:rFonts w:hint="eastAsia" w:ascii="黑体" w:hAnsi="黑体" w:eastAsia="黑体"/>
          <w:b w:val="0"/>
          <w:bCs w:val="0"/>
        </w:rPr>
        <w:t>2020年度部门决算情况说明</w:t>
      </w:r>
      <w:bookmarkEnd w:id="22"/>
      <w:bookmarkEnd w:id="23"/>
    </w:p>
    <w:p>
      <w:pPr>
        <w:spacing w:line="560" w:lineRule="exact"/>
        <w:ind w:firstLine="640" w:firstLineChars="200"/>
        <w:rPr>
          <w:rStyle w:val="18"/>
          <w:rFonts w:ascii="黑体" w:hAnsi="黑体" w:eastAsia="黑体"/>
          <w:b w:val="0"/>
        </w:rPr>
      </w:pPr>
      <w:bookmarkStart w:id="24" w:name="_Toc15396603"/>
      <w:bookmarkStart w:id="25" w:name="_Toc15377205"/>
      <w:r>
        <w:rPr>
          <w:rStyle w:val="18"/>
          <w:rFonts w:hint="eastAsia" w:ascii="黑体" w:hAnsi="黑体" w:eastAsia="黑体"/>
          <w:b w:val="0"/>
        </w:rPr>
        <w:t>一、收入支出决算总体情况说明</w:t>
      </w:r>
      <w:bookmarkEnd w:id="24"/>
      <w:bookmarkEnd w:id="25"/>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2020年度收入总计5035.2万元。与2019年相比，增加3731.08万元，增长286%。主要变动原因是新冠疫情专项资金项目增加和2020年度抗疫特别国债项目2826万元。</w:t>
      </w:r>
    </w:p>
    <w:p>
      <w:pPr>
        <w:spacing w:line="560" w:lineRule="exact"/>
        <w:ind w:firstLine="562" w:firstLineChars="200"/>
        <w:rPr>
          <w:rFonts w:ascii="仿宋_GB2312" w:hAnsi="仿宋" w:eastAsia="仿宋_GB2312"/>
          <w:color w:val="000000"/>
          <w:sz w:val="32"/>
          <w:szCs w:val="32"/>
        </w:rPr>
      </w:pPr>
      <w:r>
        <w:rPr>
          <w:rFonts w:hint="eastAsia" w:ascii="仿宋_GB2312" w:hAnsi="仿宋" w:eastAsia="仿宋_GB2312"/>
          <w:b/>
          <w:color w:val="000000"/>
          <w:sz w:val="28"/>
          <w:szCs w:val="28"/>
        </w:rPr>
        <w:drawing>
          <wp:anchor distT="0" distB="0" distL="114300" distR="114300" simplePos="0" relativeHeight="251660288" behindDoc="0" locked="0" layoutInCell="1" allowOverlap="1">
            <wp:simplePos x="0" y="0"/>
            <wp:positionH relativeFrom="column">
              <wp:posOffset>679450</wp:posOffset>
            </wp:positionH>
            <wp:positionV relativeFrom="paragraph">
              <wp:posOffset>1196340</wp:posOffset>
            </wp:positionV>
            <wp:extent cx="4112895" cy="2593975"/>
            <wp:effectExtent l="0" t="0" r="1905" b="0"/>
            <wp:wrapTopAndBottom/>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_GB2312" w:hAnsi="仿宋" w:eastAsia="仿宋_GB2312"/>
          <w:color w:val="000000"/>
          <w:sz w:val="32"/>
          <w:szCs w:val="32"/>
        </w:rPr>
        <w:t>2020年度支出总计4359.13万元。与2019年相比，增加2895.16万元，增长197.76%。主要变动原因是新冠疫情专项资金项目增加和2020年度抗疫特别国债项目2826万元。</w:t>
      </w:r>
    </w:p>
    <w:p>
      <w:pPr>
        <w:spacing w:line="600" w:lineRule="exact"/>
        <w:jc w:val="center"/>
        <w:rPr>
          <w:rFonts w:ascii="仿宋_GB2312" w:hAnsi="仿宋" w:eastAsia="仿宋_GB2312"/>
          <w:b/>
          <w:color w:val="000000"/>
          <w:sz w:val="28"/>
          <w:szCs w:val="28"/>
        </w:rPr>
      </w:pPr>
      <w:r>
        <w:rPr>
          <w:rFonts w:hint="eastAsia" w:ascii="仿宋_GB2312" w:hAnsi="仿宋" w:eastAsia="仿宋_GB2312"/>
          <w:b/>
          <w:color w:val="000000"/>
          <w:sz w:val="28"/>
          <w:szCs w:val="28"/>
        </w:rPr>
        <w:t>图1  支决算总计变动情况图</w:t>
      </w:r>
    </w:p>
    <w:p>
      <w:pPr>
        <w:spacing w:line="560" w:lineRule="exact"/>
        <w:ind w:firstLine="640" w:firstLineChars="200"/>
        <w:rPr>
          <w:rStyle w:val="18"/>
          <w:rFonts w:ascii="黑体" w:hAnsi="黑体" w:eastAsia="黑体"/>
          <w:b w:val="0"/>
        </w:rPr>
      </w:pPr>
      <w:bookmarkStart w:id="26" w:name="_Toc15396604"/>
      <w:bookmarkStart w:id="27" w:name="_Toc15377206"/>
      <w:r>
        <w:rPr>
          <w:rStyle w:val="18"/>
          <w:rFonts w:hint="eastAsia" w:ascii="黑体" w:hAnsi="黑体" w:eastAsia="黑体"/>
          <w:b w:val="0"/>
        </w:rPr>
        <w:t>二、收入决算情况说明</w:t>
      </w:r>
      <w:bookmarkEnd w:id="26"/>
      <w:bookmarkEnd w:id="27"/>
    </w:p>
    <w:p>
      <w:pPr>
        <w:ind w:firstLine="640" w:firstLineChars="200"/>
        <w:outlineLvl w:val="1"/>
        <w:rPr>
          <w:rFonts w:ascii="仿宋" w:hAnsi="仿宋" w:eastAsia="仿宋"/>
          <w:color w:val="000000"/>
          <w:sz w:val="32"/>
          <w:szCs w:val="32"/>
        </w:rPr>
      </w:pPr>
      <w:r>
        <w:rPr>
          <w:rFonts w:ascii="仿宋_GB2312" w:hAnsi="仿宋" w:eastAsia="仿宋_GB2312"/>
          <w:color w:val="000000"/>
          <w:sz w:val="32"/>
          <w:szCs w:val="32"/>
        </w:rPr>
        <w:t>20</w:t>
      </w:r>
      <w:r>
        <w:rPr>
          <w:rFonts w:hint="eastAsia" w:ascii="仿宋_GB2312" w:hAnsi="仿宋" w:eastAsia="仿宋_GB2312"/>
          <w:color w:val="000000"/>
          <w:sz w:val="32"/>
          <w:szCs w:val="32"/>
        </w:rPr>
        <w:t>20年本年收入合计5035.2万元，其中：一般公共预算财政拨款收入2209.2万元，占43.88</w:t>
      </w:r>
      <w:r>
        <w:rPr>
          <w:rFonts w:ascii="仿宋_GB2312" w:hAnsi="仿宋" w:eastAsia="仿宋_GB2312"/>
          <w:color w:val="000000"/>
          <w:sz w:val="32"/>
          <w:szCs w:val="32"/>
        </w:rPr>
        <w:t>%</w:t>
      </w:r>
      <w:r>
        <w:rPr>
          <w:rFonts w:hint="eastAsia" w:ascii="仿宋_GB2312" w:hAnsi="仿宋" w:eastAsia="仿宋_GB2312"/>
          <w:color w:val="000000"/>
          <w:sz w:val="32"/>
          <w:szCs w:val="32"/>
        </w:rPr>
        <w:t>；政府性基金预算财政拨款收入2826万元，占56.12</w:t>
      </w:r>
      <w:r>
        <w:rPr>
          <w:rFonts w:ascii="仿宋_GB2312" w:hAnsi="仿宋" w:eastAsia="仿宋_GB2312"/>
          <w:color w:val="000000"/>
          <w:sz w:val="32"/>
          <w:szCs w:val="32"/>
        </w:rPr>
        <w:t>%</w:t>
      </w:r>
      <w:r>
        <w:rPr>
          <w:rFonts w:hint="eastAsia" w:ascii="仿宋_GB2312" w:hAnsi="仿宋" w:eastAsia="仿宋_GB2312"/>
          <w:color w:val="000000"/>
          <w:sz w:val="32"/>
          <w:szCs w:val="32"/>
        </w:rPr>
        <w:t>；国有资本经营预算财政拨款收入0万元，占0</w:t>
      </w:r>
      <w:r>
        <w:rPr>
          <w:rFonts w:ascii="仿宋_GB2312" w:hAnsi="仿宋" w:eastAsia="仿宋_GB2312"/>
          <w:color w:val="000000"/>
          <w:sz w:val="32"/>
          <w:szCs w:val="32"/>
        </w:rPr>
        <w:t>%</w:t>
      </w:r>
      <w:r>
        <w:rPr>
          <w:rFonts w:hint="eastAsia" w:ascii="仿宋_GB2312" w:hAnsi="仿宋" w:eastAsia="仿宋_GB2312"/>
          <w:color w:val="000000"/>
          <w:sz w:val="32"/>
          <w:szCs w:val="32"/>
        </w:rPr>
        <w:t>；事业收入0万元，占0</w:t>
      </w:r>
      <w:r>
        <w:rPr>
          <w:rFonts w:ascii="仿宋_GB2312" w:hAnsi="仿宋" w:eastAsia="仿宋_GB2312"/>
          <w:color w:val="000000"/>
          <w:sz w:val="32"/>
          <w:szCs w:val="32"/>
        </w:rPr>
        <w:t>%</w:t>
      </w:r>
      <w:r>
        <w:rPr>
          <w:rFonts w:hint="eastAsia" w:ascii="仿宋_GB2312" w:hAnsi="仿宋" w:eastAsia="仿宋_GB2312"/>
          <w:color w:val="000000"/>
          <w:sz w:val="32"/>
          <w:szCs w:val="32"/>
        </w:rPr>
        <w:t>；经营收入0万元，占0</w:t>
      </w:r>
      <w:r>
        <w:rPr>
          <w:rFonts w:ascii="仿宋_GB2312" w:hAnsi="仿宋" w:eastAsia="仿宋_GB2312"/>
          <w:color w:val="000000"/>
          <w:sz w:val="32"/>
          <w:szCs w:val="32"/>
        </w:rPr>
        <w:t>%</w:t>
      </w:r>
      <w:r>
        <w:rPr>
          <w:rFonts w:hint="eastAsia" w:ascii="仿宋_GB2312" w:hAnsi="仿宋" w:eastAsia="仿宋_GB2312"/>
          <w:color w:val="000000"/>
          <w:sz w:val="32"/>
          <w:szCs w:val="32"/>
        </w:rPr>
        <w:t>；附属单位上缴收入0万元，占0</w:t>
      </w:r>
      <w:r>
        <w:rPr>
          <w:rFonts w:ascii="仿宋_GB2312" w:hAnsi="仿宋" w:eastAsia="仿宋_GB2312"/>
          <w:color w:val="000000"/>
          <w:sz w:val="32"/>
          <w:szCs w:val="32"/>
        </w:rPr>
        <w:t>%</w:t>
      </w:r>
      <w:r>
        <w:rPr>
          <w:rFonts w:hint="eastAsia" w:ascii="仿宋_GB2312" w:hAnsi="仿宋" w:eastAsia="仿宋_GB2312"/>
          <w:color w:val="000000"/>
          <w:sz w:val="32"/>
          <w:szCs w:val="32"/>
        </w:rPr>
        <w:t>；其他收入0万元，占0</w:t>
      </w:r>
      <w:r>
        <w:rPr>
          <w:rFonts w:ascii="仿宋_GB2312" w:hAnsi="仿宋" w:eastAsia="仿宋_GB2312"/>
          <w:color w:val="000000"/>
          <w:sz w:val="32"/>
          <w:szCs w:val="32"/>
        </w:rPr>
        <w:t>%</w:t>
      </w:r>
      <w:r>
        <w:rPr>
          <w:rFonts w:hint="eastAsia" w:ascii="仿宋_GB2312" w:hAnsi="仿宋" w:eastAsia="仿宋_GB2312"/>
          <w:color w:val="000000"/>
          <w:sz w:val="32"/>
          <w:szCs w:val="32"/>
        </w:rPr>
        <w:t>。（财决01表）</w:t>
      </w:r>
    </w:p>
    <w:p>
      <w:pPr>
        <w:ind w:firstLine="640" w:firstLineChars="200"/>
        <w:outlineLvl w:val="1"/>
        <w:rPr>
          <w:rFonts w:ascii="仿宋" w:hAnsi="仿宋" w:eastAsia="仿宋"/>
          <w:color w:val="000000"/>
          <w:sz w:val="32"/>
          <w:szCs w:val="32"/>
        </w:rPr>
      </w:pPr>
      <w:r>
        <w:rPr>
          <w:rFonts w:ascii="仿宋" w:hAnsi="仿宋" w:eastAsia="仿宋"/>
          <w:color w:val="000000"/>
          <w:sz w:val="32"/>
          <w:szCs w:val="32"/>
        </w:rPr>
        <w:drawing>
          <wp:inline distT="0" distB="0" distL="0" distR="0">
            <wp:extent cx="4391025" cy="23241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jc w:val="center"/>
        <w:rPr>
          <w:rFonts w:ascii="仿宋_GB2312" w:hAnsi="仿宋" w:eastAsia="仿宋_GB2312"/>
          <w:b/>
          <w:color w:val="000000"/>
          <w:sz w:val="28"/>
          <w:szCs w:val="28"/>
        </w:rPr>
      </w:pPr>
      <w:r>
        <w:rPr>
          <w:rFonts w:hint="eastAsia" w:ascii="仿宋_GB2312" w:hAnsi="仿宋" w:eastAsia="仿宋_GB2312"/>
          <w:b/>
          <w:color w:val="000000"/>
          <w:sz w:val="28"/>
          <w:szCs w:val="28"/>
        </w:rPr>
        <w:t>图2  收入决算结构图</w:t>
      </w:r>
    </w:p>
    <w:p>
      <w:pPr>
        <w:spacing w:line="560" w:lineRule="exact"/>
        <w:ind w:firstLine="640" w:firstLineChars="200"/>
        <w:rPr>
          <w:rStyle w:val="18"/>
          <w:rFonts w:ascii="黑体" w:hAnsi="黑体" w:eastAsia="黑体"/>
          <w:b w:val="0"/>
        </w:rPr>
      </w:pPr>
      <w:bookmarkStart w:id="28" w:name="_Toc15396605"/>
      <w:bookmarkStart w:id="29" w:name="_Toc15377207"/>
      <w:r>
        <w:rPr>
          <w:rStyle w:val="18"/>
          <w:rFonts w:hint="eastAsia" w:ascii="黑体" w:hAnsi="黑体" w:eastAsia="黑体"/>
          <w:b w:val="0"/>
        </w:rPr>
        <w:t>三、支出决算情况说明</w:t>
      </w:r>
      <w:bookmarkEnd w:id="28"/>
      <w:bookmarkEnd w:id="29"/>
    </w:p>
    <w:p>
      <w:pPr>
        <w:spacing w:line="600" w:lineRule="exact"/>
        <w:ind w:firstLine="640"/>
        <w:rPr>
          <w:rFonts w:ascii="仿宋_GB2312" w:hAnsi="仿宋" w:eastAsia="仿宋_GB2312"/>
          <w:color w:val="000000"/>
          <w:sz w:val="32"/>
          <w:szCs w:val="32"/>
        </w:rPr>
      </w:pPr>
      <w:r>
        <w:rPr>
          <w:rFonts w:ascii="仿宋_GB2312" w:hAnsi="仿宋" w:eastAsia="仿宋_GB2312"/>
          <w:color w:val="000000"/>
          <w:sz w:val="32"/>
          <w:szCs w:val="32"/>
        </w:rPr>
        <w:t>20</w:t>
      </w:r>
      <w:r>
        <w:rPr>
          <w:rFonts w:hint="eastAsia" w:ascii="仿宋_GB2312" w:hAnsi="仿宋" w:eastAsia="仿宋_GB2312"/>
          <w:color w:val="000000"/>
          <w:sz w:val="32"/>
          <w:szCs w:val="32"/>
        </w:rPr>
        <w:t>20年本年支出合计4359.13万元，其中：基本支出781.97万元，占17.94</w:t>
      </w:r>
      <w:r>
        <w:rPr>
          <w:rFonts w:ascii="仿宋_GB2312" w:hAnsi="仿宋" w:eastAsia="仿宋_GB2312"/>
          <w:color w:val="000000"/>
          <w:sz w:val="32"/>
          <w:szCs w:val="32"/>
        </w:rPr>
        <w:t>%</w:t>
      </w:r>
      <w:r>
        <w:rPr>
          <w:rFonts w:hint="eastAsia" w:ascii="仿宋_GB2312" w:hAnsi="仿宋" w:eastAsia="仿宋_GB2312"/>
          <w:color w:val="000000"/>
          <w:sz w:val="32"/>
          <w:szCs w:val="32"/>
        </w:rPr>
        <w:t>；项目支出3577.17万元，占82.06</w:t>
      </w:r>
      <w:r>
        <w:rPr>
          <w:rFonts w:ascii="仿宋_GB2312" w:hAnsi="仿宋" w:eastAsia="仿宋_GB2312"/>
          <w:color w:val="000000"/>
          <w:sz w:val="32"/>
          <w:szCs w:val="32"/>
        </w:rPr>
        <w:t>%</w:t>
      </w:r>
      <w:r>
        <w:rPr>
          <w:rFonts w:hint="eastAsia" w:ascii="仿宋_GB2312" w:hAnsi="仿宋" w:eastAsia="仿宋_GB2312"/>
          <w:color w:val="000000"/>
          <w:sz w:val="32"/>
          <w:szCs w:val="32"/>
        </w:rPr>
        <w:t>；上缴上级支出0万元，占0</w:t>
      </w:r>
      <w:r>
        <w:rPr>
          <w:rFonts w:ascii="仿宋_GB2312" w:hAnsi="仿宋" w:eastAsia="仿宋_GB2312"/>
          <w:color w:val="000000"/>
          <w:sz w:val="32"/>
          <w:szCs w:val="32"/>
        </w:rPr>
        <w:t>%</w:t>
      </w:r>
      <w:r>
        <w:rPr>
          <w:rFonts w:hint="eastAsia" w:ascii="仿宋_GB2312" w:hAnsi="仿宋" w:eastAsia="仿宋_GB2312"/>
          <w:color w:val="000000"/>
          <w:sz w:val="32"/>
          <w:szCs w:val="32"/>
        </w:rPr>
        <w:t>；经营支出0万元，占0</w:t>
      </w:r>
      <w:r>
        <w:rPr>
          <w:rFonts w:ascii="仿宋_GB2312" w:hAnsi="仿宋" w:eastAsia="仿宋_GB2312"/>
          <w:color w:val="000000"/>
          <w:sz w:val="32"/>
          <w:szCs w:val="32"/>
        </w:rPr>
        <w:t>%</w:t>
      </w:r>
      <w:r>
        <w:rPr>
          <w:rFonts w:hint="eastAsia" w:ascii="仿宋_GB2312" w:hAnsi="仿宋" w:eastAsia="仿宋_GB2312"/>
          <w:color w:val="000000"/>
          <w:sz w:val="32"/>
          <w:szCs w:val="32"/>
        </w:rPr>
        <w:t>；对附属单位补助支出0万元，占0</w:t>
      </w:r>
      <w:r>
        <w:rPr>
          <w:rFonts w:ascii="仿宋_GB2312" w:hAnsi="仿宋" w:eastAsia="仿宋_GB2312"/>
          <w:color w:val="000000"/>
          <w:sz w:val="32"/>
          <w:szCs w:val="32"/>
        </w:rPr>
        <w:t>%</w:t>
      </w:r>
      <w:r>
        <w:rPr>
          <w:rFonts w:hint="eastAsia" w:ascii="仿宋_GB2312" w:hAnsi="仿宋" w:eastAsia="仿宋_GB2312"/>
          <w:color w:val="000000"/>
          <w:sz w:val="32"/>
          <w:szCs w:val="32"/>
        </w:rPr>
        <w:t>。（财决04表）</w:t>
      </w:r>
    </w:p>
    <w:p>
      <w:pPr>
        <w:jc w:val="center"/>
        <w:outlineLvl w:val="1"/>
        <w:rPr>
          <w:rFonts w:ascii="仿宋" w:hAnsi="仿宋" w:eastAsia="仿宋"/>
          <w:color w:val="000000"/>
          <w:sz w:val="32"/>
          <w:szCs w:val="32"/>
          <w:shd w:val="pct10" w:color="auto" w:fill="FFFFFF"/>
        </w:rPr>
      </w:pPr>
      <w:r>
        <w:rPr>
          <w:rFonts w:ascii="仿宋" w:hAnsi="仿宋" w:eastAsia="仿宋"/>
          <w:color w:val="000000"/>
          <w:sz w:val="32"/>
          <w:szCs w:val="32"/>
          <w:shd w:val="pct10" w:color="auto" w:fill="FFFFFF"/>
        </w:rPr>
        <w:drawing>
          <wp:inline distT="0" distB="0" distL="0" distR="0">
            <wp:extent cx="4124325" cy="170497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jc w:val="center"/>
        <w:rPr>
          <w:rFonts w:ascii="仿宋_GB2312" w:hAnsi="仿宋" w:eastAsia="仿宋_GB2312"/>
          <w:b/>
          <w:color w:val="000000"/>
          <w:sz w:val="28"/>
          <w:szCs w:val="28"/>
        </w:rPr>
      </w:pPr>
      <w:r>
        <w:rPr>
          <w:rFonts w:hint="eastAsia" w:ascii="仿宋_GB2312" w:hAnsi="仿宋" w:eastAsia="仿宋_GB2312"/>
          <w:b/>
          <w:color w:val="000000"/>
          <w:sz w:val="28"/>
          <w:szCs w:val="28"/>
        </w:rPr>
        <w:t>图3  支出决算结构图</w:t>
      </w:r>
    </w:p>
    <w:p>
      <w:pPr>
        <w:spacing w:line="560" w:lineRule="exact"/>
        <w:ind w:firstLine="640" w:firstLineChars="200"/>
        <w:rPr>
          <w:rStyle w:val="18"/>
          <w:rFonts w:ascii="黑体" w:hAnsi="黑体" w:eastAsia="黑体"/>
          <w:b w:val="0"/>
        </w:rPr>
      </w:pPr>
      <w:bookmarkStart w:id="30" w:name="_Toc15396606"/>
      <w:bookmarkStart w:id="31" w:name="_Toc15377208"/>
      <w:r>
        <w:rPr>
          <w:rStyle w:val="18"/>
          <w:rFonts w:hint="eastAsia" w:ascii="黑体" w:hAnsi="黑体" w:eastAsia="黑体"/>
          <w:b w:val="0"/>
        </w:rPr>
        <w:t>四、财政拨款收入支出决算总体情况说明</w:t>
      </w:r>
      <w:bookmarkEnd w:id="30"/>
      <w:bookmarkEnd w:id="31"/>
    </w:p>
    <w:p>
      <w:pPr>
        <w:spacing w:line="60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20</w:t>
      </w:r>
      <w:r>
        <w:rPr>
          <w:rFonts w:hint="eastAsia" w:ascii="仿宋_GB2312" w:hAnsi="仿宋" w:eastAsia="仿宋_GB2312"/>
          <w:color w:val="000000"/>
          <w:sz w:val="32"/>
          <w:szCs w:val="32"/>
        </w:rPr>
        <w:t>20年财政拨款收入总计5035.2万元。与</w:t>
      </w:r>
      <w:r>
        <w:rPr>
          <w:rFonts w:ascii="仿宋_GB2312" w:hAnsi="仿宋" w:eastAsia="仿宋_GB2312"/>
          <w:color w:val="000000"/>
          <w:sz w:val="32"/>
          <w:szCs w:val="32"/>
        </w:rPr>
        <w:t>201</w:t>
      </w:r>
      <w:r>
        <w:rPr>
          <w:rFonts w:hint="eastAsia" w:ascii="仿宋_GB2312" w:hAnsi="仿宋" w:eastAsia="仿宋_GB2312"/>
          <w:color w:val="000000"/>
          <w:sz w:val="32"/>
          <w:szCs w:val="32"/>
        </w:rPr>
        <w:t>9年相比，财政拨款收入总计增加3731.08万元，增长286</w:t>
      </w:r>
      <w:r>
        <w:rPr>
          <w:rFonts w:ascii="仿宋_GB2312" w:hAnsi="仿宋" w:eastAsia="仿宋_GB2312"/>
          <w:color w:val="000000"/>
          <w:sz w:val="32"/>
          <w:szCs w:val="32"/>
        </w:rPr>
        <w:t>%</w:t>
      </w:r>
      <w:r>
        <w:rPr>
          <w:rFonts w:hint="eastAsia" w:ascii="仿宋_GB2312" w:hAnsi="仿宋" w:eastAsia="仿宋_GB2312"/>
          <w:color w:val="000000"/>
          <w:sz w:val="32"/>
          <w:szCs w:val="32"/>
        </w:rPr>
        <w:t>。主要变动原因是新冠疫情专项资金项目增加和2020年度抗疫特别国债项目2826万元。</w:t>
      </w:r>
    </w:p>
    <w:p>
      <w:pPr>
        <w:spacing w:line="600" w:lineRule="exact"/>
        <w:ind w:firstLine="640" w:firstLineChars="200"/>
        <w:rPr>
          <w:rFonts w:ascii="仿宋_GB2312" w:hAnsi="仿宋" w:eastAsia="仿宋_GB2312"/>
          <w:color w:val="000000"/>
          <w:sz w:val="32"/>
          <w:szCs w:val="32"/>
        </w:rPr>
      </w:pPr>
      <w:r>
        <w:rPr>
          <w:rFonts w:hint="eastAsia" w:ascii="仿宋" w:hAnsi="仿宋" w:eastAsia="仿宋"/>
          <w:color w:val="000000"/>
          <w:sz w:val="32"/>
          <w:szCs w:val="32"/>
        </w:rPr>
        <w:drawing>
          <wp:anchor distT="0" distB="0" distL="114300" distR="114300" simplePos="0" relativeHeight="251659264" behindDoc="0" locked="0" layoutInCell="1" allowOverlap="1">
            <wp:simplePos x="0" y="0"/>
            <wp:positionH relativeFrom="column">
              <wp:posOffset>984250</wp:posOffset>
            </wp:positionH>
            <wp:positionV relativeFrom="paragraph">
              <wp:posOffset>1619250</wp:posOffset>
            </wp:positionV>
            <wp:extent cx="4112895" cy="2593975"/>
            <wp:effectExtent l="0" t="0" r="1905" b="0"/>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_GB2312" w:hAnsi="仿宋" w:eastAsia="仿宋_GB2312"/>
          <w:color w:val="000000"/>
          <w:sz w:val="32"/>
          <w:szCs w:val="32"/>
        </w:rPr>
        <w:t>20</w:t>
      </w:r>
      <w:r>
        <w:rPr>
          <w:rFonts w:hint="eastAsia" w:ascii="仿宋_GB2312" w:hAnsi="仿宋" w:eastAsia="仿宋_GB2312"/>
          <w:color w:val="000000"/>
          <w:sz w:val="32"/>
          <w:szCs w:val="32"/>
        </w:rPr>
        <w:t>20年财政拨款支出总计4359.13万元。与</w:t>
      </w:r>
      <w:r>
        <w:rPr>
          <w:rFonts w:ascii="仿宋_GB2312" w:hAnsi="仿宋" w:eastAsia="仿宋_GB2312"/>
          <w:color w:val="000000"/>
          <w:sz w:val="32"/>
          <w:szCs w:val="32"/>
        </w:rPr>
        <w:t>201</w:t>
      </w:r>
      <w:r>
        <w:rPr>
          <w:rFonts w:hint="eastAsia" w:ascii="仿宋_GB2312" w:hAnsi="仿宋" w:eastAsia="仿宋_GB2312"/>
          <w:color w:val="000000"/>
          <w:sz w:val="32"/>
          <w:szCs w:val="32"/>
        </w:rPr>
        <w:t>9年相比，财政拨款支出总计</w:t>
      </w:r>
      <w:bookmarkStart w:id="32" w:name="_Toc15377209"/>
      <w:bookmarkStart w:id="33" w:name="_Toc15396607"/>
      <w:r>
        <w:rPr>
          <w:rFonts w:hint="eastAsia" w:ascii="仿宋_GB2312" w:hAnsi="仿宋" w:eastAsia="仿宋_GB2312"/>
          <w:color w:val="000000"/>
          <w:sz w:val="32"/>
          <w:szCs w:val="32"/>
        </w:rPr>
        <w:t>增加2895.16万元，增长197.76</w:t>
      </w:r>
      <w:r>
        <w:rPr>
          <w:rFonts w:ascii="仿宋_GB2312" w:hAnsi="仿宋" w:eastAsia="仿宋_GB2312"/>
          <w:color w:val="000000"/>
          <w:sz w:val="32"/>
          <w:szCs w:val="32"/>
        </w:rPr>
        <w:t>%</w:t>
      </w:r>
      <w:r>
        <w:rPr>
          <w:rFonts w:hint="eastAsia" w:ascii="仿宋_GB2312" w:hAnsi="仿宋" w:eastAsia="仿宋_GB2312"/>
          <w:color w:val="000000"/>
          <w:sz w:val="32"/>
          <w:szCs w:val="32"/>
        </w:rPr>
        <w:t>。主要变动原因是新冠疫情专项资金项目增加和2020年度抗疫特别国债项目2826万元。</w:t>
      </w:r>
    </w:p>
    <w:p>
      <w:pPr>
        <w:spacing w:line="600" w:lineRule="exact"/>
        <w:jc w:val="center"/>
        <w:rPr>
          <w:rFonts w:ascii="仿宋_GB2312" w:hAnsi="仿宋" w:eastAsia="仿宋_GB2312"/>
          <w:b/>
          <w:color w:val="000000"/>
          <w:sz w:val="28"/>
          <w:szCs w:val="28"/>
        </w:rPr>
      </w:pPr>
      <w:r>
        <w:rPr>
          <w:rFonts w:hint="eastAsia" w:ascii="仿宋_GB2312" w:hAnsi="仿宋" w:eastAsia="仿宋_GB2312"/>
          <w:b/>
          <w:color w:val="000000"/>
          <w:sz w:val="28"/>
          <w:szCs w:val="28"/>
        </w:rPr>
        <w:t>图四  财政拨款收、支决算变动情况</w:t>
      </w:r>
    </w:p>
    <w:p>
      <w:pPr>
        <w:spacing w:line="600" w:lineRule="exact"/>
        <w:ind w:firstLine="642" w:firstLineChars="200"/>
        <w:rPr>
          <w:rStyle w:val="18"/>
          <w:rFonts w:ascii="黑体" w:hAnsi="黑体" w:eastAsia="黑体"/>
          <w:b w:val="0"/>
        </w:rPr>
      </w:pPr>
      <w:r>
        <w:rPr>
          <w:rStyle w:val="18"/>
          <w:rFonts w:hint="eastAsia" w:ascii="黑体" w:hAnsi="黑体" w:eastAsia="黑体"/>
        </w:rPr>
        <w:t>五、一</w:t>
      </w:r>
      <w:r>
        <w:rPr>
          <w:rStyle w:val="18"/>
          <w:rFonts w:hint="eastAsia" w:ascii="黑体" w:hAnsi="黑体" w:eastAsia="黑体"/>
          <w:b w:val="0"/>
        </w:rPr>
        <w:t>般公共预算财政拨款支出决算情况说明</w:t>
      </w:r>
      <w:bookmarkEnd w:id="32"/>
      <w:bookmarkEnd w:id="33"/>
    </w:p>
    <w:p>
      <w:pPr>
        <w:spacing w:line="560" w:lineRule="exact"/>
        <w:ind w:firstLine="642" w:firstLineChars="200"/>
        <w:outlineLvl w:val="2"/>
        <w:rPr>
          <w:rFonts w:ascii="楷体" w:hAnsi="楷体" w:eastAsia="楷体"/>
          <w:b/>
          <w:color w:val="000000"/>
          <w:sz w:val="32"/>
          <w:szCs w:val="32"/>
        </w:rPr>
      </w:pPr>
      <w:bookmarkStart w:id="34" w:name="_Toc15377210"/>
      <w:r>
        <w:rPr>
          <w:rFonts w:hint="eastAsia" w:ascii="楷体" w:hAnsi="楷体" w:eastAsia="楷体"/>
          <w:b/>
          <w:color w:val="000000"/>
          <w:sz w:val="32"/>
          <w:szCs w:val="32"/>
        </w:rPr>
        <w:t>（一）一般公共预算财政拨款支出决算总体情况</w:t>
      </w:r>
      <w:bookmarkEnd w:id="34"/>
      <w:r>
        <w:rPr>
          <w:rFonts w:hint="eastAsia" w:ascii="楷体" w:hAnsi="楷体" w:eastAsia="楷体"/>
          <w:b/>
          <w:color w:val="000000"/>
          <w:sz w:val="32"/>
          <w:szCs w:val="32"/>
        </w:rPr>
        <w:t>。</w:t>
      </w:r>
    </w:p>
    <w:p>
      <w:pPr>
        <w:spacing w:line="56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20</w:t>
      </w:r>
      <w:r>
        <w:rPr>
          <w:rFonts w:hint="eastAsia" w:ascii="仿宋_GB2312" w:hAnsi="仿宋" w:eastAsia="仿宋_GB2312"/>
          <w:color w:val="000000"/>
          <w:sz w:val="32"/>
          <w:szCs w:val="32"/>
        </w:rPr>
        <w:t>20年一般公共预算财政拨款支出1533.13万元，占本年支出35.17</w:t>
      </w:r>
      <w:r>
        <w:rPr>
          <w:rFonts w:ascii="仿宋_GB2312" w:hAnsi="仿宋" w:eastAsia="仿宋_GB2312"/>
          <w:color w:val="000000"/>
          <w:sz w:val="32"/>
          <w:szCs w:val="32"/>
        </w:rPr>
        <w:t>%</w:t>
      </w:r>
      <w:r>
        <w:rPr>
          <w:rFonts w:hint="eastAsia" w:ascii="仿宋_GB2312" w:hAnsi="仿宋" w:eastAsia="仿宋_GB2312"/>
          <w:color w:val="000000"/>
          <w:sz w:val="32"/>
          <w:szCs w:val="32"/>
        </w:rPr>
        <w:t>。与</w:t>
      </w:r>
      <w:r>
        <w:rPr>
          <w:rFonts w:ascii="仿宋_GB2312" w:hAnsi="仿宋" w:eastAsia="仿宋_GB2312"/>
          <w:color w:val="000000"/>
          <w:sz w:val="32"/>
          <w:szCs w:val="32"/>
        </w:rPr>
        <w:t>201</w:t>
      </w:r>
      <w:r>
        <w:rPr>
          <w:rFonts w:hint="eastAsia" w:ascii="仿宋_GB2312" w:hAnsi="仿宋" w:eastAsia="仿宋_GB2312"/>
          <w:color w:val="000000"/>
          <w:sz w:val="32"/>
          <w:szCs w:val="32"/>
        </w:rPr>
        <w:t>9年相比，一般公共预算财政拨款增加69.16万元，增加4.72</w:t>
      </w:r>
      <w:r>
        <w:rPr>
          <w:rFonts w:ascii="仿宋_GB2312" w:hAnsi="仿宋" w:eastAsia="仿宋_GB2312"/>
          <w:color w:val="000000"/>
          <w:sz w:val="32"/>
          <w:szCs w:val="32"/>
        </w:rPr>
        <w:t>%</w:t>
      </w:r>
      <w:r>
        <w:rPr>
          <w:rFonts w:hint="eastAsia" w:ascii="仿宋_GB2312" w:hAnsi="仿宋" w:eastAsia="仿宋_GB2312"/>
          <w:color w:val="000000"/>
          <w:sz w:val="32"/>
          <w:szCs w:val="32"/>
        </w:rPr>
        <w:t>。主要变动原因是新冠疫情专项支出增加。</w:t>
      </w:r>
    </w:p>
    <w:p>
      <w:pPr>
        <w:spacing w:line="600" w:lineRule="exact"/>
        <w:jc w:val="center"/>
        <w:rPr>
          <w:rFonts w:ascii="仿宋_GB2312" w:hAnsi="仿宋" w:eastAsia="仿宋_GB2312"/>
          <w:b/>
          <w:color w:val="000000"/>
          <w:sz w:val="28"/>
          <w:szCs w:val="28"/>
        </w:rPr>
      </w:pPr>
      <w:r>
        <w:rPr>
          <w:rFonts w:hint="eastAsia"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920115</wp:posOffset>
            </wp:positionH>
            <wp:positionV relativeFrom="paragraph">
              <wp:posOffset>152400</wp:posOffset>
            </wp:positionV>
            <wp:extent cx="4112895" cy="2593975"/>
            <wp:effectExtent l="0" t="0" r="1905" b="0"/>
            <wp:wrapTopAndBottom/>
            <wp:docPr id="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_GB2312" w:hAnsi="仿宋" w:eastAsia="仿宋_GB2312"/>
          <w:b/>
          <w:color w:val="000000"/>
          <w:sz w:val="28"/>
          <w:szCs w:val="28"/>
        </w:rPr>
        <w:t>图5  一般公共预算财政拨款支出决算变动情况</w:t>
      </w:r>
    </w:p>
    <w:p>
      <w:pPr>
        <w:spacing w:line="560" w:lineRule="exact"/>
        <w:ind w:firstLine="642" w:firstLineChars="200"/>
        <w:outlineLvl w:val="2"/>
        <w:rPr>
          <w:rFonts w:ascii="楷体" w:hAnsi="楷体" w:eastAsia="楷体"/>
          <w:b/>
          <w:color w:val="000000"/>
          <w:sz w:val="32"/>
          <w:szCs w:val="32"/>
        </w:rPr>
      </w:pPr>
      <w:bookmarkStart w:id="35" w:name="_Toc15377211"/>
      <w:r>
        <w:rPr>
          <w:rFonts w:hint="eastAsia" w:ascii="楷体" w:hAnsi="楷体" w:eastAsia="楷体"/>
          <w:b/>
          <w:color w:val="000000"/>
          <w:sz w:val="32"/>
          <w:szCs w:val="32"/>
        </w:rPr>
        <w:t>（二）一般公共预算财政拨款支出决算结构情况</w:t>
      </w:r>
      <w:bookmarkEnd w:id="35"/>
      <w:r>
        <w:rPr>
          <w:rFonts w:hint="eastAsia" w:ascii="楷体" w:hAnsi="楷体" w:eastAsia="楷体"/>
          <w:b/>
          <w:color w:val="000000"/>
          <w:sz w:val="32"/>
          <w:szCs w:val="32"/>
        </w:rPr>
        <w:t>。</w:t>
      </w:r>
    </w:p>
    <w:p>
      <w:pPr>
        <w:spacing w:line="560" w:lineRule="exact"/>
        <w:ind w:firstLine="641"/>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sz w:val="32"/>
          <w:szCs w:val="32"/>
        </w:rPr>
        <w:t>2020年一般公共预算财</w:t>
      </w:r>
      <w:r>
        <w:rPr>
          <w:rFonts w:hint="eastAsia" w:ascii="仿宋_GB2312" w:hAnsi="仿宋" w:eastAsia="仿宋_GB2312"/>
          <w:color w:val="000000" w:themeColor="text1"/>
          <w:sz w:val="32"/>
          <w:szCs w:val="32"/>
          <w14:textFill>
            <w14:solidFill>
              <w14:schemeClr w14:val="tx1"/>
            </w14:solidFill>
          </w14:textFill>
        </w:rPr>
        <w:t>政拨款支出1533.13万元，主要用于以下方面:</w:t>
      </w:r>
      <w:r>
        <w:rPr>
          <w:rFonts w:hint="eastAsia" w:ascii="仿宋_GB2312" w:hAnsi="仿宋" w:eastAsia="仿宋_GB2312"/>
          <w:b/>
          <w:color w:val="000000" w:themeColor="text1"/>
          <w:sz w:val="32"/>
          <w:szCs w:val="32"/>
          <w14:textFill>
            <w14:solidFill>
              <w14:schemeClr w14:val="tx1"/>
            </w14:solidFill>
          </w14:textFill>
        </w:rPr>
        <w:t>一般公共服务（类）</w:t>
      </w:r>
      <w:r>
        <w:rPr>
          <w:rFonts w:hint="eastAsia" w:ascii="仿宋_GB2312" w:hAnsi="仿宋" w:eastAsia="仿宋_GB2312"/>
          <w:color w:val="000000" w:themeColor="text1"/>
          <w:sz w:val="32"/>
          <w:szCs w:val="32"/>
          <w14:textFill>
            <w14:solidFill>
              <w14:schemeClr w14:val="tx1"/>
            </w14:solidFill>
          </w14:textFill>
        </w:rPr>
        <w:t>支出0万元，占0%；</w:t>
      </w:r>
      <w:r>
        <w:rPr>
          <w:rFonts w:hint="eastAsia" w:ascii="仿宋_GB2312" w:hAnsi="仿宋" w:eastAsia="仿宋_GB2312"/>
          <w:b/>
          <w:color w:val="000000" w:themeColor="text1"/>
          <w:sz w:val="32"/>
          <w:szCs w:val="32"/>
          <w14:textFill>
            <w14:solidFill>
              <w14:schemeClr w14:val="tx1"/>
            </w14:solidFill>
          </w14:textFill>
        </w:rPr>
        <w:t>教育支出（类）</w:t>
      </w:r>
      <w:r>
        <w:rPr>
          <w:rFonts w:hint="eastAsia" w:ascii="仿宋_GB2312" w:hAnsi="仿宋" w:eastAsia="仿宋_GB2312"/>
          <w:color w:val="000000" w:themeColor="text1"/>
          <w:sz w:val="32"/>
          <w:szCs w:val="32"/>
          <w14:textFill>
            <w14:solidFill>
              <w14:schemeClr w14:val="tx1"/>
            </w14:solidFill>
          </w14:textFill>
        </w:rPr>
        <w:t>0万元，占0%；</w:t>
      </w:r>
      <w:r>
        <w:rPr>
          <w:rFonts w:hint="eastAsia" w:ascii="仿宋_GB2312" w:hAnsi="仿宋" w:eastAsia="仿宋_GB2312"/>
          <w:b/>
          <w:color w:val="000000" w:themeColor="text1"/>
          <w:sz w:val="32"/>
          <w:szCs w:val="32"/>
          <w14:textFill>
            <w14:solidFill>
              <w14:schemeClr w14:val="tx1"/>
            </w14:solidFill>
          </w14:textFill>
        </w:rPr>
        <w:t>科学技术（类）</w:t>
      </w:r>
      <w:r>
        <w:rPr>
          <w:rFonts w:hint="eastAsia" w:ascii="仿宋_GB2312" w:hAnsi="仿宋" w:eastAsia="仿宋_GB2312"/>
          <w:color w:val="000000" w:themeColor="text1"/>
          <w:sz w:val="32"/>
          <w:szCs w:val="32"/>
          <w14:textFill>
            <w14:solidFill>
              <w14:schemeClr w14:val="tx1"/>
            </w14:solidFill>
          </w14:textFill>
        </w:rPr>
        <w:t>支出0万元，占0%；</w:t>
      </w:r>
      <w:r>
        <w:rPr>
          <w:rFonts w:hint="eastAsia" w:ascii="仿宋_GB2312" w:hAnsi="仿宋" w:eastAsia="仿宋_GB2312"/>
          <w:b/>
          <w:color w:val="000000" w:themeColor="text1"/>
          <w:sz w:val="32"/>
          <w:szCs w:val="32"/>
          <w14:textFill>
            <w14:solidFill>
              <w14:schemeClr w14:val="tx1"/>
            </w14:solidFill>
          </w14:textFill>
        </w:rPr>
        <w:t>社会保障和就业（类）</w:t>
      </w:r>
      <w:r>
        <w:rPr>
          <w:rFonts w:hint="eastAsia" w:ascii="仿宋_GB2312" w:hAnsi="仿宋" w:eastAsia="仿宋_GB2312"/>
          <w:color w:val="000000" w:themeColor="text1"/>
          <w:sz w:val="32"/>
          <w:szCs w:val="32"/>
          <w14:textFill>
            <w14:solidFill>
              <w14:schemeClr w14:val="tx1"/>
            </w14:solidFill>
          </w14:textFill>
        </w:rPr>
        <w:t>支出53.20万元，占3.47%；</w:t>
      </w:r>
      <w:r>
        <w:rPr>
          <w:rFonts w:hint="eastAsia" w:ascii="仿宋_GB2312" w:hAnsi="仿宋" w:eastAsia="仿宋_GB2312"/>
          <w:b/>
          <w:color w:val="000000" w:themeColor="text1"/>
          <w:sz w:val="32"/>
          <w:szCs w:val="32"/>
          <w14:textFill>
            <w14:solidFill>
              <w14:schemeClr w14:val="tx1"/>
            </w14:solidFill>
          </w14:textFill>
        </w:rPr>
        <w:t>卫生健康</w:t>
      </w:r>
      <w:r>
        <w:rPr>
          <w:rFonts w:hint="eastAsia" w:ascii="仿宋_GB2312" w:hAnsi="仿宋" w:eastAsia="仿宋_GB2312"/>
          <w:color w:val="000000" w:themeColor="text1"/>
          <w:sz w:val="32"/>
          <w:szCs w:val="32"/>
          <w14:textFill>
            <w14:solidFill>
              <w14:schemeClr w14:val="tx1"/>
            </w14:solidFill>
          </w14:textFill>
        </w:rPr>
        <w:t>支出1439.83万元，占93.91%；</w:t>
      </w:r>
      <w:r>
        <w:rPr>
          <w:rFonts w:hint="eastAsia" w:ascii="仿宋_GB2312" w:hAnsi="仿宋" w:eastAsia="仿宋_GB2312"/>
          <w:b/>
          <w:color w:val="000000" w:themeColor="text1"/>
          <w:sz w:val="32"/>
          <w:szCs w:val="32"/>
          <w14:textFill>
            <w14:solidFill>
              <w14:schemeClr w14:val="tx1"/>
            </w14:solidFill>
          </w14:textFill>
        </w:rPr>
        <w:t>住房保障</w:t>
      </w:r>
      <w:r>
        <w:rPr>
          <w:rFonts w:hint="eastAsia" w:ascii="仿宋_GB2312" w:hAnsi="仿宋" w:eastAsia="仿宋_GB2312"/>
          <w:color w:val="000000" w:themeColor="text1"/>
          <w:sz w:val="32"/>
          <w:szCs w:val="32"/>
          <w14:textFill>
            <w14:solidFill>
              <w14:schemeClr w14:val="tx1"/>
            </w14:solidFill>
          </w14:textFill>
        </w:rPr>
        <w:t>支出40.1万元，占2.62%。</w:t>
      </w:r>
    </w:p>
    <w:p>
      <w:pPr>
        <w:ind w:firstLine="640" w:firstLineChars="200"/>
        <w:outlineLvl w:val="1"/>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inline distT="0" distB="0" distL="0" distR="0">
            <wp:extent cx="4815205" cy="1917065"/>
            <wp:effectExtent l="19050" t="0" r="23435" b="6542"/>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jc w:val="center"/>
        <w:rPr>
          <w:rFonts w:ascii="仿宋" w:hAnsi="仿宋" w:eastAsia="仿宋"/>
          <w:color w:val="000000" w:themeColor="text1"/>
          <w:sz w:val="32"/>
          <w:szCs w:val="32"/>
          <w14:textFill>
            <w14:solidFill>
              <w14:schemeClr w14:val="tx1"/>
            </w14:solidFill>
          </w14:textFill>
        </w:rPr>
      </w:pPr>
      <w:r>
        <w:rPr>
          <w:rFonts w:hint="eastAsia" w:ascii="仿宋_GB2312" w:hAnsi="仿宋" w:eastAsia="仿宋_GB2312"/>
          <w:b/>
          <w:color w:val="000000"/>
          <w:sz w:val="28"/>
          <w:szCs w:val="28"/>
        </w:rPr>
        <w:t>图6  一般公共预算财政拨款支出决算结构</w:t>
      </w:r>
    </w:p>
    <w:p>
      <w:pPr>
        <w:spacing w:line="560" w:lineRule="exact"/>
        <w:ind w:firstLine="642" w:firstLineChars="200"/>
        <w:outlineLvl w:val="2"/>
        <w:rPr>
          <w:rFonts w:ascii="楷体" w:hAnsi="楷体" w:eastAsia="楷体"/>
          <w:b/>
          <w:color w:val="000000"/>
          <w:sz w:val="32"/>
          <w:szCs w:val="32"/>
        </w:rPr>
      </w:pPr>
      <w:bookmarkStart w:id="36" w:name="_Toc15377212"/>
      <w:r>
        <w:rPr>
          <w:rFonts w:hint="eastAsia" w:ascii="楷体" w:hAnsi="楷体" w:eastAsia="楷体"/>
          <w:b/>
          <w:color w:val="000000"/>
          <w:sz w:val="32"/>
          <w:szCs w:val="32"/>
        </w:rPr>
        <w:t>（三）一般公共预算财政拨款支出决算具体情况</w:t>
      </w:r>
      <w:bookmarkEnd w:id="36"/>
      <w:r>
        <w:rPr>
          <w:rFonts w:hint="eastAsia" w:ascii="楷体" w:hAnsi="楷体" w:eastAsia="楷体"/>
          <w:b/>
          <w:color w:val="000000"/>
          <w:sz w:val="32"/>
          <w:szCs w:val="32"/>
        </w:rPr>
        <w:t>。</w:t>
      </w:r>
    </w:p>
    <w:p>
      <w:pPr>
        <w:spacing w:line="560" w:lineRule="exact"/>
        <w:ind w:firstLine="642" w:firstLineChars="200"/>
        <w:outlineLvl w:val="0"/>
        <w:rPr>
          <w:rFonts w:ascii="仿宋_GB2312" w:hAnsi="仿宋" w:eastAsia="仿宋_GB2312"/>
          <w:color w:val="FF0000"/>
          <w:sz w:val="32"/>
          <w:szCs w:val="32"/>
        </w:rPr>
      </w:pPr>
      <w:bookmarkStart w:id="37" w:name="_Toc15377213"/>
      <w:bookmarkStart w:id="38" w:name="_Toc15377444"/>
      <w:bookmarkStart w:id="39" w:name="_Toc15378460"/>
      <w:r>
        <w:rPr>
          <w:rFonts w:hint="eastAsia" w:ascii="仿宋_GB2312" w:hAnsi="仿宋" w:eastAsia="仿宋_GB2312"/>
          <w:b/>
          <w:color w:val="000000"/>
          <w:sz w:val="32"/>
          <w:szCs w:val="32"/>
        </w:rPr>
        <w:t>2020年一般公共预算支出决算数为1533.13万元，</w:t>
      </w:r>
      <w:r>
        <w:rPr>
          <w:rStyle w:val="16"/>
          <w:rFonts w:hint="eastAsia" w:ascii="仿宋_GB2312" w:hAnsi="仿宋" w:eastAsia="仿宋_GB2312"/>
          <w:bCs/>
          <w:color w:val="000000" w:themeColor="text1"/>
          <w:sz w:val="32"/>
          <w:szCs w:val="32"/>
          <w14:textFill>
            <w14:solidFill>
              <w14:schemeClr w14:val="tx1"/>
            </w14:solidFill>
          </w14:textFill>
        </w:rPr>
        <w:t>完成</w:t>
      </w:r>
      <w:r>
        <w:rPr>
          <w:rStyle w:val="16"/>
          <w:rFonts w:hint="eastAsia" w:ascii="仿宋_GB2312" w:hAnsi="仿宋" w:eastAsia="仿宋_GB2312"/>
          <w:bCs/>
          <w:color w:val="000000"/>
          <w:sz w:val="32"/>
          <w:szCs w:val="32"/>
        </w:rPr>
        <w:t>预算69.4%。其中：</w:t>
      </w:r>
      <w:bookmarkEnd w:id="37"/>
      <w:bookmarkEnd w:id="38"/>
      <w:bookmarkEnd w:id="39"/>
    </w:p>
    <w:p>
      <w:pPr>
        <w:spacing w:line="560" w:lineRule="exact"/>
        <w:ind w:firstLine="642" w:firstLineChars="200"/>
        <w:rPr>
          <w:rFonts w:ascii="仿宋_GB2312" w:hAnsi="仿宋" w:eastAsia="仿宋_GB2312"/>
          <w:b/>
          <w:color w:val="000000"/>
          <w:sz w:val="32"/>
          <w:szCs w:val="32"/>
        </w:rPr>
      </w:pPr>
      <w:r>
        <w:rPr>
          <w:rStyle w:val="16"/>
          <w:rFonts w:hint="eastAsia" w:ascii="仿宋_GB2312" w:hAnsi="仿宋" w:eastAsia="仿宋_GB2312"/>
          <w:bCs/>
          <w:color w:val="000000"/>
          <w:sz w:val="32"/>
          <w:szCs w:val="32"/>
        </w:rPr>
        <w:t>1.社会保障和就业（类）行政事业单位离退休（款）机关事业单位基本养老保险缴费（项）:</w:t>
      </w:r>
      <w:r>
        <w:rPr>
          <w:rStyle w:val="16"/>
          <w:rFonts w:hint="eastAsia" w:ascii="仿宋_GB2312" w:hAnsi="仿宋" w:eastAsia="仿宋_GB2312"/>
          <w:b w:val="0"/>
          <w:bCs/>
          <w:color w:val="000000"/>
          <w:sz w:val="32"/>
          <w:szCs w:val="32"/>
        </w:rPr>
        <w:t xml:space="preserve"> 支出决算为53.2万元，完成预算100%。</w:t>
      </w:r>
    </w:p>
    <w:p>
      <w:pPr>
        <w:spacing w:line="560" w:lineRule="exact"/>
        <w:ind w:firstLine="642" w:firstLineChars="200"/>
        <w:rPr>
          <w:rStyle w:val="16"/>
          <w:rFonts w:ascii="仿宋_GB2312" w:hAnsi="仿宋" w:eastAsia="仿宋_GB2312"/>
          <w:b w:val="0"/>
          <w:bCs/>
          <w:color w:val="000000"/>
          <w:sz w:val="32"/>
          <w:szCs w:val="32"/>
        </w:rPr>
      </w:pPr>
      <w:r>
        <w:rPr>
          <w:rStyle w:val="16"/>
          <w:rFonts w:hint="eastAsia" w:ascii="仿宋_GB2312" w:hAnsi="仿宋" w:eastAsia="仿宋_GB2312"/>
          <w:bCs/>
          <w:color w:val="000000"/>
          <w:sz w:val="32"/>
          <w:szCs w:val="32"/>
        </w:rPr>
        <w:t>2.卫生健康（类）公共卫生（款）疾病预防控制机构（项）:</w:t>
      </w:r>
      <w:r>
        <w:rPr>
          <w:rStyle w:val="16"/>
          <w:rFonts w:hint="eastAsia" w:ascii="仿宋_GB2312" w:hAnsi="仿宋" w:eastAsia="仿宋_GB2312"/>
          <w:b w:val="0"/>
          <w:bCs/>
          <w:color w:val="000000"/>
          <w:sz w:val="32"/>
          <w:szCs w:val="32"/>
        </w:rPr>
        <w:t>支出决算为656.83万元，完成预算97.66%。</w:t>
      </w:r>
    </w:p>
    <w:p>
      <w:pPr>
        <w:spacing w:line="560" w:lineRule="exact"/>
        <w:ind w:firstLine="642" w:firstLineChars="200"/>
        <w:rPr>
          <w:rStyle w:val="16"/>
          <w:rFonts w:ascii="仿宋_GB2312" w:hAnsi="仿宋" w:eastAsia="仿宋_GB2312"/>
          <w:b w:val="0"/>
          <w:bCs/>
          <w:color w:val="000000"/>
          <w:sz w:val="32"/>
          <w:szCs w:val="32"/>
        </w:rPr>
      </w:pPr>
      <w:r>
        <w:rPr>
          <w:rStyle w:val="16"/>
          <w:rFonts w:hint="eastAsia" w:ascii="仿宋_GB2312" w:hAnsi="仿宋" w:eastAsia="仿宋_GB2312"/>
          <w:bCs/>
          <w:color w:val="000000"/>
          <w:sz w:val="32"/>
          <w:szCs w:val="32"/>
        </w:rPr>
        <w:t>3. 卫生健康（类）公共卫生（款）基本公共卫生服务（项）：</w:t>
      </w:r>
      <w:r>
        <w:rPr>
          <w:rStyle w:val="16"/>
          <w:rFonts w:hint="eastAsia" w:ascii="仿宋_GB2312" w:hAnsi="仿宋" w:eastAsia="仿宋_GB2312"/>
          <w:b w:val="0"/>
          <w:bCs/>
          <w:color w:val="000000"/>
          <w:sz w:val="32"/>
          <w:szCs w:val="32"/>
        </w:rPr>
        <w:t>支出决算为263.2万元，完成预算65.08%。</w:t>
      </w:r>
    </w:p>
    <w:p>
      <w:pPr>
        <w:spacing w:line="560" w:lineRule="exact"/>
        <w:ind w:firstLine="642" w:firstLineChars="200"/>
        <w:rPr>
          <w:rStyle w:val="16"/>
          <w:rFonts w:ascii="仿宋_GB2312" w:hAnsi="仿宋" w:eastAsia="仿宋_GB2312"/>
          <w:b w:val="0"/>
          <w:bCs/>
          <w:color w:val="000000"/>
          <w:sz w:val="32"/>
          <w:szCs w:val="32"/>
        </w:rPr>
      </w:pPr>
      <w:r>
        <w:rPr>
          <w:rStyle w:val="16"/>
          <w:rFonts w:hint="eastAsia" w:ascii="仿宋_GB2312" w:hAnsi="仿宋" w:eastAsia="仿宋_GB2312"/>
          <w:bCs/>
          <w:color w:val="000000"/>
          <w:sz w:val="32"/>
          <w:szCs w:val="32"/>
        </w:rPr>
        <w:t>4. 卫生健康（类）公共卫生（款）重大公共卫生专项（项）：</w:t>
      </w:r>
      <w:r>
        <w:rPr>
          <w:rStyle w:val="16"/>
          <w:rFonts w:hint="eastAsia" w:ascii="仿宋_GB2312" w:hAnsi="仿宋" w:eastAsia="仿宋_GB2312"/>
          <w:b w:val="0"/>
          <w:bCs/>
          <w:color w:val="000000"/>
          <w:sz w:val="32"/>
          <w:szCs w:val="32"/>
        </w:rPr>
        <w:t>支出决算为206.95万元，完成预算100%。</w:t>
      </w:r>
    </w:p>
    <w:p>
      <w:pPr>
        <w:spacing w:line="560" w:lineRule="exact"/>
        <w:ind w:firstLine="642" w:firstLineChars="200"/>
        <w:rPr>
          <w:rStyle w:val="16"/>
          <w:rFonts w:ascii="仿宋_GB2312" w:hAnsi="仿宋" w:eastAsia="仿宋_GB2312"/>
          <w:b w:val="0"/>
          <w:bCs/>
          <w:color w:val="000000"/>
          <w:sz w:val="32"/>
          <w:szCs w:val="32"/>
        </w:rPr>
      </w:pPr>
      <w:r>
        <w:rPr>
          <w:rStyle w:val="16"/>
          <w:rFonts w:hint="eastAsia" w:ascii="仿宋_GB2312" w:hAnsi="仿宋" w:eastAsia="仿宋_GB2312"/>
          <w:bCs/>
          <w:color w:val="000000"/>
          <w:sz w:val="32"/>
          <w:szCs w:val="32"/>
        </w:rPr>
        <w:t>5. 卫生健康（类）公共卫生（款）突发公共卫生事件应急处理（项）：</w:t>
      </w:r>
      <w:r>
        <w:rPr>
          <w:rStyle w:val="16"/>
          <w:rFonts w:hint="eastAsia" w:ascii="仿宋_GB2312" w:hAnsi="仿宋" w:eastAsia="仿宋_GB2312"/>
          <w:b w:val="0"/>
          <w:bCs/>
          <w:color w:val="000000"/>
          <w:sz w:val="32"/>
          <w:szCs w:val="32"/>
        </w:rPr>
        <w:t>支出决算为175.2万元，完成预算100%。</w:t>
      </w:r>
    </w:p>
    <w:p>
      <w:pPr>
        <w:spacing w:line="560" w:lineRule="exact"/>
        <w:ind w:firstLine="642" w:firstLineChars="200"/>
        <w:rPr>
          <w:rStyle w:val="16"/>
          <w:rFonts w:ascii="仿宋_GB2312" w:hAnsi="仿宋" w:eastAsia="仿宋_GB2312"/>
          <w:b w:val="0"/>
          <w:bCs/>
          <w:color w:val="000000"/>
          <w:sz w:val="32"/>
          <w:szCs w:val="32"/>
        </w:rPr>
      </w:pPr>
      <w:r>
        <w:rPr>
          <w:rStyle w:val="16"/>
          <w:rFonts w:hint="eastAsia" w:ascii="仿宋_GB2312" w:hAnsi="仿宋" w:eastAsia="仿宋_GB2312"/>
          <w:bCs/>
          <w:color w:val="000000"/>
          <w:sz w:val="32"/>
          <w:szCs w:val="32"/>
        </w:rPr>
        <w:t>6. 卫生健康（类）计划生育事务（款）其他计划生育事务支出（项）：</w:t>
      </w:r>
      <w:r>
        <w:rPr>
          <w:rStyle w:val="16"/>
          <w:rFonts w:hint="eastAsia" w:ascii="仿宋_GB2312" w:hAnsi="仿宋" w:eastAsia="仿宋_GB2312"/>
          <w:b w:val="0"/>
          <w:bCs/>
          <w:color w:val="000000"/>
          <w:sz w:val="32"/>
          <w:szCs w:val="32"/>
        </w:rPr>
        <w:t>支出决算为0万元，完成预算0%。</w:t>
      </w:r>
    </w:p>
    <w:p>
      <w:pPr>
        <w:spacing w:line="560" w:lineRule="exact"/>
        <w:ind w:firstLine="642" w:firstLineChars="200"/>
        <w:rPr>
          <w:rStyle w:val="16"/>
          <w:rFonts w:ascii="仿宋_GB2312" w:hAnsi="仿宋" w:eastAsia="仿宋_GB2312"/>
          <w:b w:val="0"/>
          <w:bCs/>
          <w:color w:val="000000"/>
          <w:sz w:val="32"/>
          <w:szCs w:val="32"/>
        </w:rPr>
      </w:pPr>
      <w:r>
        <w:rPr>
          <w:rStyle w:val="16"/>
          <w:rFonts w:hint="eastAsia" w:ascii="仿宋_GB2312" w:hAnsi="仿宋" w:eastAsia="仿宋_GB2312"/>
          <w:bCs/>
          <w:color w:val="000000"/>
          <w:sz w:val="32"/>
          <w:szCs w:val="32"/>
        </w:rPr>
        <w:t>7. 卫生健康（类）行政事业单位医疗（款）事业单位医疗（项）：</w:t>
      </w:r>
      <w:r>
        <w:rPr>
          <w:rStyle w:val="16"/>
          <w:rFonts w:hint="eastAsia" w:ascii="仿宋_GB2312" w:hAnsi="仿宋" w:eastAsia="仿宋_GB2312"/>
          <w:b w:val="0"/>
          <w:bCs/>
          <w:color w:val="000000"/>
          <w:sz w:val="32"/>
          <w:szCs w:val="32"/>
        </w:rPr>
        <w:t>支出决算为31.83万元，完成预算100%。</w:t>
      </w:r>
    </w:p>
    <w:p>
      <w:pPr>
        <w:spacing w:line="560" w:lineRule="exact"/>
        <w:ind w:firstLine="642" w:firstLineChars="200"/>
        <w:rPr>
          <w:rStyle w:val="16"/>
          <w:rFonts w:ascii="仿宋_GB2312" w:hAnsi="仿宋" w:eastAsia="仿宋_GB2312"/>
          <w:b w:val="0"/>
          <w:bCs/>
          <w:color w:val="000000"/>
          <w:sz w:val="32"/>
          <w:szCs w:val="32"/>
        </w:rPr>
      </w:pPr>
      <w:r>
        <w:rPr>
          <w:rStyle w:val="16"/>
          <w:rFonts w:hint="eastAsia" w:ascii="仿宋_GB2312" w:hAnsi="仿宋" w:eastAsia="仿宋_GB2312"/>
          <w:bCs/>
          <w:color w:val="000000"/>
          <w:sz w:val="32"/>
          <w:szCs w:val="32"/>
        </w:rPr>
        <w:t>8. 卫生健康（类）其他卫生健康支出（款）其他卫生健康支出（项）：</w:t>
      </w:r>
      <w:r>
        <w:rPr>
          <w:rStyle w:val="16"/>
          <w:rFonts w:hint="eastAsia" w:ascii="仿宋_GB2312" w:hAnsi="仿宋" w:eastAsia="仿宋_GB2312"/>
          <w:b w:val="0"/>
          <w:bCs/>
          <w:color w:val="000000"/>
          <w:sz w:val="32"/>
          <w:szCs w:val="32"/>
        </w:rPr>
        <w:t>支出决算为105.82万元，完成预算15.29%。项目执行率低得主要原因是年底下达公共卫生体系建设项目结转下年度执行。</w:t>
      </w:r>
    </w:p>
    <w:p>
      <w:pPr>
        <w:spacing w:line="560" w:lineRule="exact"/>
        <w:ind w:firstLine="642" w:firstLineChars="200"/>
        <w:rPr>
          <w:rFonts w:ascii="仿宋_GB2312" w:hAnsi="仿宋" w:eastAsia="仿宋_GB2312"/>
          <w:bCs/>
          <w:color w:val="000000"/>
          <w:sz w:val="32"/>
          <w:szCs w:val="32"/>
        </w:rPr>
      </w:pPr>
      <w:r>
        <w:rPr>
          <w:rStyle w:val="16"/>
          <w:rFonts w:hint="eastAsia" w:ascii="仿宋_GB2312" w:hAnsi="仿宋" w:eastAsia="仿宋_GB2312"/>
          <w:bCs/>
          <w:color w:val="000000"/>
          <w:sz w:val="32"/>
          <w:szCs w:val="32"/>
        </w:rPr>
        <w:t>9.住房保障支出（类）住房改革支出（款）住房公积金（项）：</w:t>
      </w:r>
      <w:r>
        <w:rPr>
          <w:rStyle w:val="16"/>
          <w:rFonts w:hint="eastAsia" w:ascii="仿宋_GB2312" w:hAnsi="仿宋" w:eastAsia="仿宋_GB2312"/>
          <w:b w:val="0"/>
          <w:bCs/>
          <w:color w:val="000000"/>
          <w:sz w:val="32"/>
          <w:szCs w:val="32"/>
        </w:rPr>
        <w:t>支出决算为40.1万元，完成预算100%。</w:t>
      </w:r>
    </w:p>
    <w:p>
      <w:pPr>
        <w:spacing w:line="560" w:lineRule="exact"/>
        <w:ind w:firstLine="642" w:firstLineChars="200"/>
        <w:rPr>
          <w:rStyle w:val="18"/>
          <w:rFonts w:ascii="黑体" w:hAnsi="黑体" w:eastAsia="黑体"/>
          <w:b w:val="0"/>
        </w:rPr>
      </w:pPr>
      <w:bookmarkStart w:id="40" w:name="_Toc15377214"/>
      <w:bookmarkStart w:id="41" w:name="_Toc15396608"/>
      <w:r>
        <w:rPr>
          <w:rStyle w:val="18"/>
          <w:rFonts w:hint="eastAsia" w:ascii="黑体" w:hAnsi="黑体" w:eastAsia="黑体"/>
        </w:rPr>
        <w:t>六、一</w:t>
      </w:r>
      <w:r>
        <w:rPr>
          <w:rStyle w:val="18"/>
          <w:rFonts w:hint="eastAsia" w:ascii="黑体" w:hAnsi="黑体" w:eastAsia="黑体"/>
          <w:b w:val="0"/>
        </w:rPr>
        <w:t>般公共预算财政拨款基本支出决算情况说明</w:t>
      </w:r>
      <w:bookmarkEnd w:id="40"/>
      <w:bookmarkEnd w:id="41"/>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rPr>
        <w:t>20年一般公共预算财政拨款基本支出781.97万元，其中：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员经费644.49万元，主要包括：基本工资、津贴补贴、奖金、绩效工资、机关事业单位基本养老保险缴费、其他社会保障缴费、其他工资福利支出、离休费、退休费生活补助、医疗费、住房公积金、其他对个人和家庭的补助支出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公用经费137.48万元，主要包括：办公费、印刷费、水费、电费、邮电费、物业管理费、差旅费、维修（护）费、会议费、公务接待费、劳务费、委托业务费、工会经费、福利费、公务用车运行维护费、其他商品和服务支出、其他资本性支出等。</w:t>
      </w:r>
    </w:p>
    <w:p>
      <w:pPr>
        <w:spacing w:line="560" w:lineRule="exact"/>
        <w:ind w:firstLine="642" w:firstLineChars="200"/>
        <w:rPr>
          <w:rStyle w:val="18"/>
          <w:rFonts w:ascii="黑体" w:hAnsi="黑体" w:eastAsia="黑体"/>
          <w:b w:val="0"/>
        </w:rPr>
      </w:pPr>
      <w:bookmarkStart w:id="42" w:name="_Toc15396609"/>
      <w:bookmarkStart w:id="43" w:name="_Toc15377215"/>
      <w:r>
        <w:rPr>
          <w:rStyle w:val="18"/>
          <w:rFonts w:hint="eastAsia" w:ascii="黑体" w:hAnsi="黑体" w:eastAsia="黑体"/>
        </w:rPr>
        <w:t>七、</w:t>
      </w:r>
      <w:r>
        <w:rPr>
          <w:rStyle w:val="18"/>
          <w:rFonts w:hint="eastAsia" w:ascii="黑体" w:hAnsi="黑体" w:eastAsia="黑体"/>
          <w:b w:val="0"/>
        </w:rPr>
        <w:t>“三公”经费财政拨款支出决算情况说明</w:t>
      </w:r>
      <w:bookmarkEnd w:id="42"/>
      <w:bookmarkEnd w:id="43"/>
    </w:p>
    <w:p>
      <w:pPr>
        <w:spacing w:line="560" w:lineRule="exact"/>
        <w:ind w:firstLine="642" w:firstLineChars="200"/>
        <w:outlineLvl w:val="2"/>
        <w:rPr>
          <w:rFonts w:ascii="楷体" w:hAnsi="楷体" w:eastAsia="楷体"/>
          <w:b/>
          <w:color w:val="000000"/>
          <w:sz w:val="32"/>
          <w:szCs w:val="32"/>
        </w:rPr>
      </w:pPr>
      <w:bookmarkStart w:id="44" w:name="_Toc15377216"/>
      <w:r>
        <w:rPr>
          <w:rFonts w:hint="eastAsia" w:ascii="楷体" w:hAnsi="楷体" w:eastAsia="楷体"/>
          <w:b/>
          <w:color w:val="000000"/>
          <w:sz w:val="32"/>
          <w:szCs w:val="32"/>
        </w:rPr>
        <w:t>（一）“三公”经费财政拨款支出决算总体情况说明</w:t>
      </w:r>
      <w:bookmarkEnd w:id="44"/>
      <w:r>
        <w:rPr>
          <w:rFonts w:hint="eastAsia" w:ascii="楷体" w:hAnsi="楷体" w:eastAsia="楷体"/>
          <w:b/>
          <w:color w:val="000000"/>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2020年“三公”经费财政拨款支出决算为22.59万元，完成预算90%，主要原因是严格控制“三公”经费支出。</w:t>
      </w:r>
    </w:p>
    <w:p>
      <w:pPr>
        <w:spacing w:line="560" w:lineRule="exact"/>
        <w:ind w:firstLine="642" w:firstLineChars="200"/>
        <w:outlineLvl w:val="2"/>
        <w:rPr>
          <w:rFonts w:ascii="楷体" w:hAnsi="楷体" w:eastAsia="楷体"/>
          <w:b/>
          <w:color w:val="000000"/>
          <w:sz w:val="32"/>
          <w:szCs w:val="32"/>
        </w:rPr>
      </w:pPr>
      <w:bookmarkStart w:id="45" w:name="_Toc15377217"/>
      <w:r>
        <w:rPr>
          <w:rFonts w:hint="eastAsia" w:ascii="楷体" w:hAnsi="楷体" w:eastAsia="楷体"/>
          <w:b/>
          <w:color w:val="000000"/>
          <w:sz w:val="32"/>
          <w:szCs w:val="32"/>
        </w:rPr>
        <w:t>（二）“三公”经费财政拨款支出决算具体情况说明</w:t>
      </w:r>
      <w:bookmarkEnd w:id="45"/>
      <w:r>
        <w:rPr>
          <w:rFonts w:hint="eastAsia" w:ascii="楷体" w:hAnsi="楷体" w:eastAsia="楷体"/>
          <w:b/>
          <w:color w:val="000000"/>
          <w:sz w:val="32"/>
          <w:szCs w:val="32"/>
        </w:rPr>
        <w:t>。</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2020年“三公”经费财政拨款支出决算中，因公出国（境）费支出决算0万元，占0%；公务用车购置及运行维护费支出决算20.96万元，占92.78%；公务接待费支出决算1.63万元，占7.22%。具体情况如下：</w:t>
      </w:r>
    </w:p>
    <w:p>
      <w:pPr>
        <w:spacing w:line="560" w:lineRule="exact"/>
        <w:ind w:firstLine="642" w:firstLineChars="200"/>
        <w:rPr>
          <w:rFonts w:ascii="仿宋_GB2312" w:eastAsia="仿宋_GB2312"/>
          <w:b/>
          <w:color w:val="000000"/>
          <w:sz w:val="32"/>
          <w:szCs w:val="32"/>
        </w:rPr>
      </w:pPr>
      <w:r>
        <w:rPr>
          <w:rFonts w:hint="eastAsia" w:ascii="仿宋_GB2312" w:eastAsia="仿宋_GB2312"/>
          <w:b/>
          <w:color w:val="000000"/>
          <w:sz w:val="32"/>
          <w:szCs w:val="32"/>
        </w:rPr>
        <w:t>1.因公出国（境）经费支出</w:t>
      </w:r>
      <w:r>
        <w:rPr>
          <w:rFonts w:hint="eastAsia" w:ascii="仿宋_GB2312" w:eastAsia="仿宋_GB2312"/>
          <w:color w:val="000000"/>
          <w:sz w:val="32"/>
          <w:szCs w:val="32"/>
        </w:rPr>
        <w:t>0万元，</w:t>
      </w:r>
      <w:r>
        <w:rPr>
          <w:rStyle w:val="16"/>
          <w:rFonts w:hint="eastAsia" w:ascii="仿宋_GB2312" w:hAnsi="仿宋" w:eastAsia="仿宋_GB2312"/>
          <w:b w:val="0"/>
          <w:bCs/>
          <w:color w:val="000000"/>
          <w:sz w:val="32"/>
          <w:szCs w:val="32"/>
        </w:rPr>
        <w:t>完成预算0%。</w:t>
      </w:r>
      <w:r>
        <w:rPr>
          <w:rFonts w:hint="eastAsia" w:ascii="仿宋_GB2312" w:eastAsia="仿宋_GB2312"/>
          <w:color w:val="000000"/>
          <w:sz w:val="32"/>
          <w:szCs w:val="32"/>
        </w:rPr>
        <w:t>全年安排因公出国（境）团组0次，出国（境）0人。因公出国（境）支出决算比2019年持平。</w:t>
      </w:r>
    </w:p>
    <w:p>
      <w:pPr>
        <w:spacing w:line="560" w:lineRule="exact"/>
        <w:ind w:firstLine="642" w:firstLineChars="200"/>
        <w:rPr>
          <w:rFonts w:ascii="仿宋_GB2312" w:eastAsia="仿宋_GB2312"/>
          <w:b/>
          <w:sz w:val="32"/>
          <w:szCs w:val="32"/>
        </w:rPr>
      </w:pPr>
      <w:r>
        <w:rPr>
          <w:rFonts w:hint="eastAsia" w:ascii="仿宋_GB2312" w:eastAsia="仿宋_GB2312"/>
          <w:b/>
          <w:color w:val="000000"/>
          <w:sz w:val="32"/>
          <w:szCs w:val="32"/>
        </w:rPr>
        <w:t>2.公务用车购置及运行维护费支出</w:t>
      </w:r>
      <w:r>
        <w:rPr>
          <w:rFonts w:hint="eastAsia" w:ascii="仿宋_GB2312" w:eastAsia="仿宋_GB2312"/>
          <w:color w:val="000000"/>
          <w:sz w:val="32"/>
          <w:szCs w:val="32"/>
        </w:rPr>
        <w:t>20.96万元,</w:t>
      </w:r>
      <w:r>
        <w:rPr>
          <w:rStyle w:val="16"/>
          <w:rFonts w:hint="eastAsia" w:ascii="仿宋_GB2312" w:hAnsi="仿宋" w:eastAsia="仿宋_GB2312"/>
          <w:b w:val="0"/>
          <w:bCs/>
          <w:color w:val="000000"/>
          <w:sz w:val="32"/>
          <w:szCs w:val="32"/>
        </w:rPr>
        <w:t>完成预算89.57%。</w:t>
      </w:r>
      <w:r>
        <w:rPr>
          <w:rFonts w:hint="eastAsia" w:ascii="仿宋_GB2312" w:eastAsia="仿宋_GB2312"/>
          <w:color w:val="000000"/>
          <w:sz w:val="32"/>
          <w:szCs w:val="32"/>
        </w:rPr>
        <w:t>公务用车购置及运行维护费支出决算较2019年减少0.64位万元。其中：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0万元。全年按规定更新购置公务用车0辆，其中：轿车0辆、金额0万元，越野车0辆、金额0万元，载客汽车0辆、金额0万元。截至2020年12月底，</w:t>
      </w:r>
      <w:r>
        <w:rPr>
          <w:rFonts w:hint="eastAsia" w:ascii="仿宋_GB2312" w:eastAsia="仿宋_GB2312"/>
          <w:sz w:val="32"/>
          <w:szCs w:val="32"/>
        </w:rPr>
        <w:t>单位共有公务用车7辆，其中：轿车1辆、越野车1辆、载客汽车3辆，应急处理车2辆。</w:t>
      </w:r>
    </w:p>
    <w:p>
      <w:pPr>
        <w:spacing w:line="560" w:lineRule="exact"/>
        <w:ind w:firstLine="642" w:firstLineChars="200"/>
        <w:rPr>
          <w:rFonts w:ascii="仿宋_GB2312" w:eastAsia="仿宋_GB2312"/>
          <w:color w:val="000000"/>
          <w:sz w:val="32"/>
          <w:szCs w:val="32"/>
        </w:rPr>
      </w:pPr>
      <w:r>
        <w:rPr>
          <w:rFonts w:hint="eastAsia" w:ascii="仿宋_GB2312" w:eastAsia="仿宋_GB2312"/>
          <w:b/>
          <w:color w:val="000000"/>
          <w:sz w:val="32"/>
          <w:szCs w:val="32"/>
        </w:rPr>
        <w:t>3.公务用车运行维护费支出</w:t>
      </w:r>
      <w:r>
        <w:rPr>
          <w:rFonts w:hint="eastAsia" w:ascii="仿宋_GB2312" w:eastAsia="仿宋_GB2312"/>
          <w:color w:val="000000"/>
          <w:sz w:val="32"/>
          <w:szCs w:val="32"/>
        </w:rPr>
        <w:t>20.96万元。主要用于疾病预防控制机构、基本公共卫生服务、重大公共卫生服务、重大突发事件应急处理等所需的公务用车燃料费、维修费、过路过桥费、保险费等支出。</w:t>
      </w:r>
    </w:p>
    <w:p>
      <w:pPr>
        <w:spacing w:line="560" w:lineRule="exact"/>
        <w:ind w:firstLine="642" w:firstLineChars="200"/>
        <w:rPr>
          <w:rFonts w:ascii="仿宋_GB2312" w:eastAsia="仿宋_GB2312"/>
          <w:color w:val="000000"/>
          <w:sz w:val="32"/>
          <w:szCs w:val="32"/>
        </w:rPr>
      </w:pPr>
      <w:r>
        <w:rPr>
          <w:rFonts w:hint="eastAsia" w:ascii="仿宋_GB2312" w:eastAsia="仿宋_GB2312"/>
          <w:b/>
          <w:color w:val="000000"/>
          <w:sz w:val="32"/>
          <w:szCs w:val="32"/>
        </w:rPr>
        <w:t>4.公务接待费支出</w:t>
      </w:r>
      <w:r>
        <w:rPr>
          <w:rFonts w:hint="eastAsia" w:ascii="仿宋_GB2312" w:eastAsia="仿宋_GB2312"/>
          <w:color w:val="000000"/>
          <w:sz w:val="32"/>
          <w:szCs w:val="32"/>
        </w:rPr>
        <w:t>1.63万元，</w:t>
      </w:r>
      <w:r>
        <w:rPr>
          <w:rStyle w:val="16"/>
          <w:rFonts w:hint="eastAsia" w:ascii="仿宋_GB2312" w:hAnsi="仿宋" w:eastAsia="仿宋_GB2312"/>
          <w:b w:val="0"/>
          <w:bCs/>
          <w:color w:val="000000"/>
          <w:sz w:val="32"/>
          <w:szCs w:val="32"/>
        </w:rPr>
        <w:t>完成预算95.88%。</w:t>
      </w:r>
      <w:r>
        <w:rPr>
          <w:rFonts w:hint="eastAsia" w:ascii="仿宋_GB2312" w:eastAsia="仿宋_GB2312"/>
          <w:color w:val="000000"/>
          <w:sz w:val="32"/>
          <w:szCs w:val="32"/>
        </w:rPr>
        <w:t>公务接待费支出决算比2019年减少0.37万元。主要用于执行公务、开展业务活动开支的交通费、住宿费、用餐费等。国内公务接待30批次，149人次，共计支出1.63万元。</w:t>
      </w:r>
    </w:p>
    <w:p>
      <w:pPr>
        <w:ind w:firstLine="640" w:firstLineChars="200"/>
        <w:outlineLvl w:val="1"/>
        <w:rPr>
          <w:rFonts w:ascii="仿宋_GB2312" w:eastAsia="仿宋_GB2312"/>
          <w:color w:val="000000"/>
          <w:sz w:val="32"/>
          <w:szCs w:val="32"/>
        </w:rPr>
      </w:pPr>
      <w:r>
        <w:rPr>
          <w:rFonts w:ascii="仿宋_GB2312" w:eastAsia="仿宋_GB2312"/>
          <w:color w:val="000000"/>
          <w:sz w:val="32"/>
          <w:szCs w:val="32"/>
        </w:rPr>
        <w:drawing>
          <wp:inline distT="0" distB="0" distL="0" distR="0">
            <wp:extent cx="4848225" cy="255270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jc w:val="center"/>
        <w:rPr>
          <w:rFonts w:ascii="仿宋_GB2312" w:hAnsi="仿宋" w:eastAsia="仿宋_GB2312"/>
          <w:b/>
          <w:color w:val="000000"/>
          <w:sz w:val="28"/>
          <w:szCs w:val="28"/>
        </w:rPr>
      </w:pPr>
      <w:r>
        <w:rPr>
          <w:rFonts w:hint="eastAsia" w:ascii="仿宋_GB2312" w:hAnsi="仿宋" w:eastAsia="仿宋_GB2312"/>
          <w:b/>
          <w:color w:val="000000"/>
          <w:sz w:val="28"/>
          <w:szCs w:val="28"/>
        </w:rPr>
        <w:t>图7  “三公”经费财政拨款支出结构</w:t>
      </w:r>
    </w:p>
    <w:p>
      <w:pPr>
        <w:spacing w:line="560" w:lineRule="exact"/>
        <w:ind w:firstLine="642" w:firstLineChars="200"/>
        <w:rPr>
          <w:rStyle w:val="18"/>
          <w:rFonts w:ascii="黑体" w:hAnsi="黑体" w:eastAsia="黑体"/>
          <w:b w:val="0"/>
        </w:rPr>
      </w:pPr>
      <w:bookmarkStart w:id="46" w:name="_Toc15396610"/>
      <w:bookmarkStart w:id="47" w:name="_Toc15377218"/>
      <w:r>
        <w:rPr>
          <w:rStyle w:val="18"/>
          <w:rFonts w:hint="eastAsia" w:ascii="黑体" w:hAnsi="黑体" w:eastAsia="黑体"/>
        </w:rPr>
        <w:t>八、</w:t>
      </w:r>
      <w:r>
        <w:rPr>
          <w:rStyle w:val="18"/>
          <w:rFonts w:hint="eastAsia" w:ascii="黑体" w:hAnsi="黑体" w:eastAsia="黑体"/>
          <w:b w:val="0"/>
        </w:rPr>
        <w:t>政府性基金预算支出决算情况说明</w:t>
      </w:r>
      <w:bookmarkEnd w:id="46"/>
      <w:bookmarkEnd w:id="47"/>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20年政府性基金预算拨款支出2826万元。2020年抗疫特别国债项目支出2826万元；其中公共卫生体系建设项目（实验室检测能力建设项目）支出2600万元，其他抗疫相关支出项目支出226万元。</w:t>
      </w:r>
    </w:p>
    <w:p>
      <w:pPr>
        <w:spacing w:line="560" w:lineRule="exact"/>
        <w:ind w:firstLine="640" w:firstLineChars="200"/>
        <w:rPr>
          <w:rStyle w:val="18"/>
          <w:rFonts w:ascii="黑体" w:hAnsi="黑体" w:eastAsia="黑体"/>
          <w:b w:val="0"/>
        </w:rPr>
      </w:pPr>
      <w:bookmarkStart w:id="48" w:name="_Toc15377219"/>
      <w:bookmarkStart w:id="49" w:name="_Toc15396611"/>
      <w:r>
        <w:rPr>
          <w:rStyle w:val="18"/>
          <w:rFonts w:hint="eastAsia" w:ascii="黑体" w:hAnsi="黑体" w:eastAsia="黑体"/>
          <w:b w:val="0"/>
        </w:rPr>
        <w:t>九、国有资本经营预算支出决算情况说明</w:t>
      </w:r>
      <w:bookmarkEnd w:id="48"/>
      <w:bookmarkEnd w:id="49"/>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20年国有资本经营预算拨款支出0万元。</w:t>
      </w:r>
    </w:p>
    <w:p>
      <w:pPr>
        <w:spacing w:line="560" w:lineRule="exact"/>
        <w:ind w:firstLine="642" w:firstLineChars="200"/>
        <w:rPr>
          <w:rStyle w:val="18"/>
          <w:rFonts w:ascii="黑体" w:hAnsi="黑体" w:eastAsia="黑体"/>
          <w:b w:val="0"/>
        </w:rPr>
      </w:pPr>
      <w:bookmarkStart w:id="50" w:name="_Toc15396612"/>
      <w:bookmarkStart w:id="51" w:name="_Toc15377221"/>
      <w:r>
        <w:rPr>
          <w:rStyle w:val="18"/>
          <w:rFonts w:hint="eastAsia" w:ascii="黑体" w:hAnsi="黑体" w:eastAsia="黑体"/>
        </w:rPr>
        <w:t>十</w:t>
      </w:r>
      <w:r>
        <w:rPr>
          <w:rStyle w:val="18"/>
          <w:rFonts w:hint="eastAsia" w:ascii="黑体" w:hAnsi="黑体" w:eastAsia="黑体"/>
          <w:b w:val="0"/>
        </w:rPr>
        <w:t>、其他重要事项的情况说明</w:t>
      </w:r>
      <w:bookmarkEnd w:id="50"/>
      <w:bookmarkEnd w:id="51"/>
    </w:p>
    <w:p>
      <w:pPr>
        <w:spacing w:line="560" w:lineRule="exact"/>
        <w:ind w:firstLine="642" w:firstLineChars="200"/>
        <w:outlineLvl w:val="2"/>
        <w:rPr>
          <w:rFonts w:ascii="楷体" w:hAnsi="楷体" w:eastAsia="楷体"/>
          <w:b/>
          <w:color w:val="000000"/>
          <w:sz w:val="32"/>
          <w:szCs w:val="32"/>
        </w:rPr>
      </w:pPr>
      <w:bookmarkStart w:id="52" w:name="_Toc15377222"/>
      <w:r>
        <w:rPr>
          <w:rFonts w:hint="eastAsia" w:ascii="楷体" w:hAnsi="楷体" w:eastAsia="楷体"/>
          <w:b/>
          <w:color w:val="000000"/>
          <w:sz w:val="32"/>
          <w:szCs w:val="32"/>
        </w:rPr>
        <w:t>（一）机关运行经费支出情况</w:t>
      </w:r>
      <w:bookmarkEnd w:id="52"/>
      <w:r>
        <w:rPr>
          <w:rFonts w:hint="eastAsia" w:ascii="楷体" w:hAnsi="楷体" w:eastAsia="楷体"/>
          <w:b/>
          <w:color w:val="000000"/>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20年，机关运行经费支出0万元，比</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9持平。</w:t>
      </w:r>
    </w:p>
    <w:p>
      <w:pPr>
        <w:spacing w:line="560" w:lineRule="exact"/>
        <w:ind w:firstLine="642" w:firstLineChars="200"/>
        <w:outlineLvl w:val="2"/>
        <w:rPr>
          <w:rFonts w:ascii="楷体" w:hAnsi="楷体" w:eastAsia="楷体"/>
          <w:b/>
          <w:color w:val="000000"/>
          <w:sz w:val="32"/>
          <w:szCs w:val="32"/>
        </w:rPr>
      </w:pPr>
      <w:bookmarkStart w:id="53" w:name="_Toc15377223"/>
      <w:r>
        <w:rPr>
          <w:rFonts w:hint="eastAsia" w:ascii="楷体" w:hAnsi="楷体" w:eastAsia="楷体"/>
          <w:b/>
          <w:color w:val="000000"/>
          <w:sz w:val="32"/>
          <w:szCs w:val="32"/>
        </w:rPr>
        <w:t>（二）政府采购支出情况</w:t>
      </w:r>
      <w:bookmarkEnd w:id="53"/>
      <w:r>
        <w:rPr>
          <w:rFonts w:hint="eastAsia" w:ascii="楷体" w:hAnsi="楷体" w:eastAsia="楷体"/>
          <w:b/>
          <w:color w:val="000000"/>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20年，政府采购支出总额0万元，其中：政府采购货物支出0万元、政府采购工程支出0万元、政府采购服务支出0万元。</w:t>
      </w:r>
    </w:p>
    <w:p>
      <w:pPr>
        <w:spacing w:line="560" w:lineRule="exact"/>
        <w:ind w:firstLine="642" w:firstLineChars="200"/>
        <w:outlineLvl w:val="2"/>
        <w:rPr>
          <w:rFonts w:ascii="楷体" w:hAnsi="楷体" w:eastAsia="楷体"/>
          <w:b/>
          <w:color w:val="000000"/>
          <w:sz w:val="32"/>
          <w:szCs w:val="32"/>
        </w:rPr>
      </w:pPr>
      <w:bookmarkStart w:id="54" w:name="_Toc15377224"/>
      <w:r>
        <w:rPr>
          <w:rFonts w:hint="eastAsia" w:ascii="楷体" w:hAnsi="楷体" w:eastAsia="楷体"/>
          <w:b/>
          <w:color w:val="000000"/>
          <w:sz w:val="32"/>
          <w:szCs w:val="32"/>
        </w:rPr>
        <w:t>（三）国有资产占有使用情况</w:t>
      </w:r>
      <w:bookmarkEnd w:id="54"/>
      <w:r>
        <w:rPr>
          <w:rFonts w:hint="eastAsia" w:ascii="楷体" w:hAnsi="楷体" w:eastAsia="楷体"/>
          <w:b/>
          <w:color w:val="000000"/>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日，共有车辆7辆，其中：部级领导干部用车0辆、一般公务用车1辆、一般执法执勤用车0辆、特种专业技术用车6辆、其他用车1辆。单价</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万元以上通用设备3台（套），单价</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万元以上专用设备1台（套）。</w:t>
      </w:r>
    </w:p>
    <w:p>
      <w:pPr>
        <w:spacing w:line="560" w:lineRule="exact"/>
        <w:ind w:firstLine="642" w:firstLineChars="200"/>
        <w:outlineLvl w:val="2"/>
        <w:rPr>
          <w:rFonts w:ascii="楷体" w:hAnsi="楷体" w:eastAsia="楷体"/>
          <w:b/>
          <w:color w:val="000000"/>
          <w:sz w:val="32"/>
          <w:szCs w:val="32"/>
        </w:rPr>
      </w:pPr>
      <w:r>
        <w:rPr>
          <w:rFonts w:hint="eastAsia" w:ascii="楷体" w:hAnsi="楷体" w:eastAsia="楷体"/>
          <w:b/>
          <w:color w:val="000000"/>
          <w:sz w:val="32"/>
          <w:szCs w:val="32"/>
        </w:rPr>
        <w:t>（四）预算绩效管理情况。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14个项目开展了预算事前绩效评估，对14个项目编制了绩效目标，预算执行过程中，选取14个项目开展绩效监控，年终执行完毕后，对4个项目开展了绩效目标完成情况自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按要求对2020年部门整体支出开展绩效自评，从评价情况来看</w:t>
      </w:r>
      <w:r>
        <w:rPr>
          <w:rFonts w:hint="eastAsia" w:ascii="仿宋_GB2312" w:hAnsi="仿宋" w:eastAsia="仿宋_GB2312"/>
          <w:sz w:val="32"/>
          <w:szCs w:val="32"/>
        </w:rPr>
        <w:t>在市委、市政府和市卫生健康委的领导下，在上级业务主管部门指导下，坚持“预防为主”方针，坚持以习近平新时代中国特色社会主义思想为指导，深入学习贯彻党的十九大精神和全国、全省、全市卫生与健康大会精神，切实履行公共卫生职能，全面完成疾病预防控制各项工作任务，为保障全市人民群众身体健康，加快推进健康巴中建设做出了积极贡献</w:t>
      </w:r>
      <w:r>
        <w:rPr>
          <w:rFonts w:hint="eastAsia" w:ascii="仿宋_GB2312" w:hAnsi="仿宋_GB2312" w:eastAsia="仿宋_GB2312" w:cs="仿宋_GB2312"/>
          <w:sz w:val="32"/>
          <w:szCs w:val="32"/>
        </w:rPr>
        <w:t>。</w:t>
      </w:r>
    </w:p>
    <w:p>
      <w:pPr>
        <w:spacing w:line="560" w:lineRule="exact"/>
        <w:ind w:firstLine="642"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1.项目绩效目标完成情况。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本单位在2020年度部门决算中反映“免疫规划””重大疾病预防控制”“卫生监测”“网络运行维护”等4个项目绩效目标实际完成情况。</w:t>
      </w:r>
    </w:p>
    <w:p>
      <w:pPr>
        <w:spacing w:line="560" w:lineRule="exact"/>
        <w:ind w:firstLine="704" w:firstLineChars="220"/>
        <w:rPr>
          <w:rFonts w:ascii="仿宋_GB2312" w:hAnsi="仿宋_GB2312" w:eastAsia="仿宋_GB2312" w:cs="仿宋_GB2312"/>
          <w:sz w:val="32"/>
          <w:szCs w:val="32"/>
        </w:rPr>
      </w:pPr>
      <w:r>
        <w:rPr>
          <w:rFonts w:hint="eastAsia" w:ascii="仿宋_GB2312" w:hAnsi="仿宋_GB2312" w:eastAsia="仿宋_GB2312" w:cs="仿宋_GB2312"/>
          <w:sz w:val="32"/>
          <w:szCs w:val="32"/>
        </w:rPr>
        <w:t>（1）免疫规划项目绩效目标完成情况综述。项目全年预算数10万元，执行数为10万元，完成预算的100%。2020年全市免疫规划工作认真贯彻落实《传染病防治法》《疫苗流通与预防接种管理条例》，以抓好免疫规划疫苗接种率、维持无脊髓灰质炎状态、努力实现消除麻疹目标、控制针对传染病为重点，全面推进免疫规划工作。</w:t>
      </w:r>
    </w:p>
    <w:p>
      <w:pPr>
        <w:tabs>
          <w:tab w:val="left" w:pos="312"/>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（2）重大疾病预防控制项目绩效目标完成情况综述。项目全年预算数15万元，执行数为15万元，完成预算的100%。</w:t>
      </w:r>
      <w:r>
        <w:rPr>
          <w:rFonts w:hint="eastAsia" w:ascii="仿宋_GB2312" w:hAnsi="仿宋" w:eastAsia="仿宋_GB2312"/>
          <w:sz w:val="32"/>
          <w:szCs w:val="32"/>
        </w:rPr>
        <w:t>通过将艾滋病防治工作纳入年度目标管理，签订目标责任书，年终考核奖惩兑现、全面实施艾滋病防治工作“一把手”负责制、成立了艾滋病防治管理办公室、四是定期召开部门协调会，形成政府主导、部门各负其责、全社会共同参与的防治工作机制、完善“政府投入为主、分级负责、多渠道筹资”的经费保障机制等多种措施加强艾滋病防治工作。</w:t>
      </w:r>
    </w:p>
    <w:p>
      <w:pPr>
        <w:tabs>
          <w:tab w:val="left" w:pos="312"/>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（3）卫生监测项目绩效目标完成情况综述。项目全年预算数5万元，执行数为5万元，完成预算的100%。通过项目实施，</w:t>
      </w:r>
      <w:r>
        <w:rPr>
          <w:rFonts w:hint="eastAsia" w:ascii="仿宋_GB2312" w:hAnsi="仿宋" w:eastAsia="仿宋_GB2312"/>
          <w:sz w:val="32"/>
          <w:szCs w:val="32"/>
        </w:rPr>
        <w:t>职业与辐射卫生工作有序开展，环境卫生工作成效显著。生活用水监测覆盖各县（区）所辖城区，全年对公共场所进</w:t>
      </w:r>
      <w:r>
        <w:rPr>
          <w:rFonts w:hint="eastAsia" w:ascii="仿宋_GB2312" w:hAnsi="宋体" w:eastAsia="仿宋_GB2312"/>
          <w:sz w:val="32"/>
          <w:szCs w:val="32"/>
        </w:rPr>
        <w:t>行了监测，农村饮水安全工程卫生学及时评价反馈，</w:t>
      </w:r>
      <w:r>
        <w:rPr>
          <w:rFonts w:hint="eastAsia" w:ascii="仿宋_GB2312" w:eastAsia="仿宋_GB2312"/>
          <w:sz w:val="32"/>
          <w:szCs w:val="32"/>
        </w:rPr>
        <w:t>开展了农村环境卫生调查及土壤监测工作。</w:t>
      </w:r>
    </w:p>
    <w:p>
      <w:pPr>
        <w:tabs>
          <w:tab w:val="left" w:pos="312"/>
        </w:tabs>
        <w:spacing w:line="560" w:lineRule="exact"/>
        <w:ind w:firstLine="640" w:firstLineChars="200"/>
        <w:jc w:val="left"/>
        <w:rPr>
          <w:rFonts w:ascii="仿宋_GB2312" w:hAnsi="仿宋" w:eastAsia="仿宋_GB2312"/>
          <w:sz w:val="32"/>
          <w:szCs w:val="32"/>
        </w:rPr>
      </w:pPr>
      <w:r>
        <w:rPr>
          <w:rFonts w:hint="eastAsia" w:ascii="仿宋_GB2312" w:hAnsi="仿宋_GB2312" w:eastAsia="仿宋_GB2312" w:cs="仿宋_GB2312"/>
          <w:sz w:val="32"/>
          <w:szCs w:val="32"/>
        </w:rPr>
        <w:t>（4）网络运行维护项目绩效目标完成情况综述。项目全年预算数2.7万元，执行数为2.7万元，完成预算的100%。通过项目实施，</w:t>
      </w:r>
      <w:r>
        <w:rPr>
          <w:rFonts w:hint="eastAsia" w:ascii="仿宋_GB2312" w:hAnsi="仿宋" w:eastAsia="仿宋_GB2312"/>
          <w:sz w:val="32"/>
          <w:szCs w:val="32"/>
        </w:rPr>
        <w:t>进一步建立健全传染病登记、管理和疫情报告制度，落实各项防控措施，加强突发公共卫生事件的预警监测，提高综合分析和现场处置能力，不断提升疾病防控能力和水平。</w:t>
      </w:r>
    </w:p>
    <w:p>
      <w:pPr>
        <w:tabs>
          <w:tab w:val="left" w:pos="312"/>
        </w:tabs>
        <w:spacing w:line="600" w:lineRule="exact"/>
        <w:ind w:firstLine="640" w:firstLineChars="200"/>
        <w:jc w:val="left"/>
        <w:rPr>
          <w:rFonts w:ascii="仿宋_GB2312" w:hAnsi="仿宋" w:eastAsia="仿宋_GB2312"/>
          <w:sz w:val="32"/>
          <w:szCs w:val="32"/>
        </w:rPr>
      </w:pPr>
    </w:p>
    <w:p>
      <w:pPr>
        <w:tabs>
          <w:tab w:val="left" w:pos="312"/>
        </w:tabs>
        <w:spacing w:line="600" w:lineRule="exact"/>
        <w:ind w:firstLine="640" w:firstLineChars="200"/>
        <w:jc w:val="left"/>
        <w:rPr>
          <w:rFonts w:ascii="仿宋_GB2312" w:hAnsi="仿宋" w:eastAsia="仿宋_GB2312"/>
          <w:sz w:val="32"/>
          <w:szCs w:val="32"/>
        </w:rPr>
      </w:pPr>
    </w:p>
    <w:p>
      <w:pPr>
        <w:tabs>
          <w:tab w:val="left" w:pos="312"/>
        </w:tabs>
        <w:spacing w:line="600" w:lineRule="exact"/>
        <w:ind w:firstLine="640" w:firstLineChars="200"/>
        <w:jc w:val="left"/>
        <w:rPr>
          <w:rFonts w:ascii="仿宋_GB2312" w:hAnsi="仿宋" w:eastAsia="仿宋_GB2312"/>
          <w:sz w:val="32"/>
          <w:szCs w:val="32"/>
        </w:rPr>
      </w:pPr>
    </w:p>
    <w:p>
      <w:pPr>
        <w:tabs>
          <w:tab w:val="left" w:pos="312"/>
        </w:tabs>
        <w:spacing w:line="600" w:lineRule="exact"/>
        <w:ind w:firstLine="640" w:firstLineChars="200"/>
        <w:jc w:val="left"/>
        <w:rPr>
          <w:rFonts w:ascii="仿宋_GB2312" w:hAnsi="仿宋" w:eastAsia="仿宋_GB2312"/>
          <w:sz w:val="32"/>
          <w:szCs w:val="32"/>
        </w:rPr>
      </w:pPr>
    </w:p>
    <w:p>
      <w:pPr>
        <w:tabs>
          <w:tab w:val="left" w:pos="312"/>
        </w:tabs>
        <w:spacing w:line="600" w:lineRule="exact"/>
        <w:ind w:firstLine="640" w:firstLineChars="200"/>
        <w:jc w:val="left"/>
        <w:rPr>
          <w:rFonts w:ascii="仿宋_GB2312" w:hAnsi="仿宋" w:eastAsia="仿宋_GB2312"/>
          <w:sz w:val="32"/>
          <w:szCs w:val="32"/>
        </w:rPr>
      </w:pPr>
    </w:p>
    <w:p>
      <w:pPr>
        <w:tabs>
          <w:tab w:val="left" w:pos="312"/>
        </w:tabs>
        <w:spacing w:line="600" w:lineRule="exact"/>
        <w:ind w:firstLine="640" w:firstLineChars="200"/>
        <w:jc w:val="left"/>
        <w:rPr>
          <w:rFonts w:ascii="仿宋_GB2312" w:hAnsi="仿宋" w:eastAsia="仿宋_GB2312"/>
          <w:sz w:val="32"/>
          <w:szCs w:val="32"/>
        </w:rPr>
      </w:pPr>
    </w:p>
    <w:p>
      <w:pPr>
        <w:tabs>
          <w:tab w:val="left" w:pos="312"/>
        </w:tabs>
        <w:spacing w:line="600" w:lineRule="exact"/>
        <w:ind w:firstLine="640" w:firstLineChars="200"/>
        <w:jc w:val="left"/>
        <w:rPr>
          <w:rFonts w:ascii="仿宋_GB2312" w:hAnsi="仿宋" w:eastAsia="仿宋_GB2312"/>
          <w:sz w:val="32"/>
          <w:szCs w:val="32"/>
        </w:rPr>
      </w:pPr>
    </w:p>
    <w:p>
      <w:pPr>
        <w:tabs>
          <w:tab w:val="left" w:pos="312"/>
        </w:tabs>
        <w:spacing w:line="600" w:lineRule="exact"/>
        <w:ind w:firstLine="640" w:firstLineChars="200"/>
        <w:jc w:val="left"/>
        <w:rPr>
          <w:rFonts w:ascii="仿宋_GB2312" w:hAnsi="仿宋" w:eastAsia="仿宋_GB2312"/>
          <w:sz w:val="32"/>
          <w:szCs w:val="32"/>
        </w:rPr>
      </w:pPr>
    </w:p>
    <w:p>
      <w:pPr>
        <w:tabs>
          <w:tab w:val="left" w:pos="312"/>
        </w:tabs>
        <w:spacing w:line="600" w:lineRule="exact"/>
        <w:ind w:firstLine="640" w:firstLineChars="200"/>
        <w:jc w:val="left"/>
        <w:rPr>
          <w:rFonts w:ascii="仿宋_GB2312" w:hAnsi="仿宋" w:eastAsia="仿宋_GB2312"/>
          <w:sz w:val="32"/>
          <w:szCs w:val="32"/>
        </w:rPr>
      </w:pPr>
    </w:p>
    <w:p>
      <w:pPr>
        <w:tabs>
          <w:tab w:val="left" w:pos="312"/>
        </w:tabs>
        <w:spacing w:line="600" w:lineRule="exact"/>
        <w:ind w:firstLine="640" w:firstLineChars="200"/>
        <w:jc w:val="left"/>
        <w:rPr>
          <w:rFonts w:ascii="仿宋_GB2312" w:hAnsi="仿宋" w:eastAsia="仿宋_GB2312"/>
          <w:sz w:val="32"/>
          <w:szCs w:val="32"/>
        </w:rPr>
      </w:pPr>
    </w:p>
    <w:p>
      <w:pPr>
        <w:tabs>
          <w:tab w:val="left" w:pos="312"/>
        </w:tabs>
        <w:spacing w:line="600" w:lineRule="exact"/>
        <w:ind w:firstLine="640" w:firstLineChars="200"/>
        <w:jc w:val="left"/>
        <w:rPr>
          <w:rFonts w:ascii="仿宋_GB2312" w:hAnsi="仿宋" w:eastAsia="仿宋_GB2312"/>
          <w:sz w:val="32"/>
          <w:szCs w:val="32"/>
        </w:rPr>
      </w:pPr>
    </w:p>
    <w:p>
      <w:pPr>
        <w:tabs>
          <w:tab w:val="left" w:pos="312"/>
        </w:tabs>
        <w:spacing w:line="600" w:lineRule="exact"/>
        <w:ind w:firstLine="640" w:firstLineChars="200"/>
        <w:jc w:val="left"/>
        <w:rPr>
          <w:rFonts w:ascii="仿宋_GB2312" w:hAnsi="仿宋" w:eastAsia="仿宋_GB2312"/>
          <w:sz w:val="32"/>
          <w:szCs w:val="32"/>
        </w:rPr>
      </w:pPr>
    </w:p>
    <w:p>
      <w:pPr>
        <w:tabs>
          <w:tab w:val="left" w:pos="312"/>
        </w:tabs>
        <w:spacing w:line="600" w:lineRule="exact"/>
        <w:ind w:firstLine="640" w:firstLineChars="200"/>
        <w:jc w:val="left"/>
        <w:rPr>
          <w:rFonts w:ascii="仿宋_GB2312" w:hAnsi="仿宋" w:eastAsia="仿宋_GB2312"/>
          <w:sz w:val="32"/>
          <w:szCs w:val="32"/>
        </w:rPr>
      </w:pPr>
    </w:p>
    <w:p>
      <w:pPr>
        <w:tabs>
          <w:tab w:val="left" w:pos="312"/>
        </w:tabs>
        <w:spacing w:line="600" w:lineRule="exact"/>
        <w:ind w:firstLine="640" w:firstLineChars="200"/>
        <w:jc w:val="left"/>
        <w:rPr>
          <w:rFonts w:ascii="仿宋_GB2312" w:hAnsi="仿宋" w:eastAsia="仿宋_GB2312"/>
          <w:sz w:val="32"/>
          <w:szCs w:val="32"/>
        </w:rPr>
      </w:pPr>
    </w:p>
    <w:p>
      <w:pPr>
        <w:tabs>
          <w:tab w:val="left" w:pos="312"/>
        </w:tabs>
        <w:spacing w:line="600" w:lineRule="exact"/>
        <w:ind w:firstLine="640" w:firstLineChars="200"/>
        <w:jc w:val="left"/>
        <w:rPr>
          <w:rFonts w:ascii="仿宋_GB2312" w:hAnsi="仿宋" w:eastAsia="仿宋_GB2312"/>
          <w:sz w:val="32"/>
          <w:szCs w:val="32"/>
        </w:rPr>
      </w:pPr>
    </w:p>
    <w:p>
      <w:pPr>
        <w:tabs>
          <w:tab w:val="left" w:pos="312"/>
        </w:tabs>
        <w:spacing w:line="600" w:lineRule="exact"/>
        <w:ind w:firstLine="640" w:firstLineChars="200"/>
        <w:jc w:val="left"/>
        <w:rPr>
          <w:rFonts w:hint="eastAsia" w:ascii="仿宋_GB2312" w:hAnsi="仿宋" w:eastAsia="仿宋_GB2312"/>
          <w:sz w:val="32"/>
          <w:szCs w:val="32"/>
        </w:rPr>
      </w:pPr>
    </w:p>
    <w:p>
      <w:pPr>
        <w:tabs>
          <w:tab w:val="left" w:pos="312"/>
        </w:tabs>
        <w:spacing w:line="600" w:lineRule="exact"/>
        <w:ind w:firstLine="640" w:firstLineChars="200"/>
        <w:jc w:val="left"/>
        <w:rPr>
          <w:rFonts w:hint="eastAsia" w:ascii="仿宋_GB2312" w:hAnsi="仿宋" w:eastAsia="仿宋_GB2312"/>
          <w:sz w:val="32"/>
          <w:szCs w:val="32"/>
        </w:rPr>
      </w:pPr>
    </w:p>
    <w:p>
      <w:pPr>
        <w:tabs>
          <w:tab w:val="left" w:pos="312"/>
        </w:tabs>
        <w:spacing w:line="600" w:lineRule="exact"/>
        <w:ind w:firstLine="640" w:firstLineChars="200"/>
        <w:jc w:val="left"/>
        <w:rPr>
          <w:rFonts w:ascii="仿宋_GB2312" w:hAnsi="仿宋" w:eastAsia="仿宋_GB2312"/>
          <w:sz w:val="32"/>
          <w:szCs w:val="32"/>
        </w:rPr>
      </w:pPr>
    </w:p>
    <w:p>
      <w:pPr>
        <w:tabs>
          <w:tab w:val="left" w:pos="312"/>
        </w:tabs>
        <w:spacing w:line="600" w:lineRule="exact"/>
        <w:ind w:firstLine="640" w:firstLineChars="200"/>
        <w:jc w:val="left"/>
        <w:rPr>
          <w:rFonts w:ascii="仿宋_GB2312" w:hAnsi="仿宋" w:eastAsia="仿宋_GB2312"/>
          <w:sz w:val="32"/>
          <w:szCs w:val="32"/>
        </w:rPr>
      </w:pP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582"/>
        <w:gridCol w:w="1175"/>
        <w:gridCol w:w="1025"/>
        <w:gridCol w:w="352"/>
        <w:gridCol w:w="2040"/>
        <w:gridCol w:w="2394"/>
        <w:gridCol w:w="2392"/>
      </w:tblGrid>
      <w:tr>
        <w:tblPrEx>
          <w:tblCellMar>
            <w:top w:w="0" w:type="dxa"/>
            <w:left w:w="0" w:type="dxa"/>
            <w:bottom w:w="0" w:type="dxa"/>
            <w:right w:w="0" w:type="dxa"/>
          </w:tblCellMar>
        </w:tblPrEx>
        <w:trPr>
          <w:cantSplit/>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widowControl/>
              <w:spacing w:line="560" w:lineRule="exact"/>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cantSplit/>
          <w:trHeight w:val="54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免疫规划</w:t>
            </w:r>
          </w:p>
        </w:tc>
      </w:tr>
      <w:tr>
        <w:tblPrEx>
          <w:tblCellMar>
            <w:top w:w="0" w:type="dxa"/>
            <w:left w:w="0" w:type="dxa"/>
            <w:bottom w:w="0" w:type="dxa"/>
            <w:right w:w="0" w:type="dxa"/>
          </w:tblCellMar>
        </w:tblPrEx>
        <w:trPr>
          <w:cantSplit/>
          <w:trHeight w:val="682"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市疾控中心</w:t>
            </w:r>
          </w:p>
        </w:tc>
      </w:tr>
      <w:tr>
        <w:tblPrEx>
          <w:tblCellMar>
            <w:top w:w="0" w:type="dxa"/>
            <w:left w:w="0" w:type="dxa"/>
            <w:bottom w:w="0" w:type="dxa"/>
            <w:right w:w="0" w:type="dxa"/>
          </w:tblCellMar>
        </w:tblPrEx>
        <w:trPr>
          <w:cantSplit/>
          <w:trHeight w:val="438"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w:t>
            </w:r>
          </w:p>
        </w:tc>
      </w:tr>
      <w:tr>
        <w:tblPrEx>
          <w:tblCellMar>
            <w:top w:w="0" w:type="dxa"/>
            <w:left w:w="0" w:type="dxa"/>
            <w:bottom w:w="0" w:type="dxa"/>
            <w:right w:w="0" w:type="dxa"/>
          </w:tblCellMar>
        </w:tblPrEx>
        <w:trPr>
          <w:cantSplit/>
          <w:trHeight w:val="52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w:t>
            </w:r>
          </w:p>
        </w:tc>
      </w:tr>
      <w:tr>
        <w:tblPrEx>
          <w:tblCellMar>
            <w:top w:w="0" w:type="dxa"/>
            <w:left w:w="0" w:type="dxa"/>
            <w:bottom w:w="0" w:type="dxa"/>
            <w:right w:w="0" w:type="dxa"/>
          </w:tblCellMar>
        </w:tblPrEx>
        <w:trPr>
          <w:cantSplit/>
          <w:trHeight w:val="537"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cantSplit/>
          <w:trHeight w:val="276"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59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cantSplit/>
          <w:trHeight w:val="115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59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冷链设备保持良好状态和正常运转。完成 业务培训 、对下级工作督导检查，开展宣传活动等工作，实现预防和控制疫苗针对传染病的暴发流行目的，保护人群健康产出指标，提高公众身体素质效益指标，取得良好的社会效果。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冷链设备保持良好状态和正常运转。完成 业务培训 、对下级工作督导检查，开展宣传活动等工作，实现预防和控制疫苗针对传染病的暴发流行目的，保护人群健康产出指标，提高公众身体素质效益指标，取得良好的社会效果。</w:t>
            </w:r>
          </w:p>
        </w:tc>
      </w:tr>
      <w:tr>
        <w:tblPrEx>
          <w:tblCellMar>
            <w:top w:w="0" w:type="dxa"/>
            <w:left w:w="0" w:type="dxa"/>
            <w:bottom w:w="0" w:type="dxa"/>
            <w:right w:w="0" w:type="dxa"/>
          </w:tblCellMar>
        </w:tblPrEx>
        <w:trPr>
          <w:cantSplit/>
          <w:trHeight w:val="1042" w:hRule="atLeast"/>
          <w:jc w:val="center"/>
        </w:trPr>
        <w:tc>
          <w:tcPr>
            <w:tcW w:w="5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效指标完成情况</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cantSplit/>
          <w:trHeight w:val="525"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开展业务培训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2期</w:t>
            </w:r>
          </w:p>
        </w:tc>
      </w:tr>
      <w:tr>
        <w:tblPrEx>
          <w:tblCellMar>
            <w:top w:w="0" w:type="dxa"/>
            <w:left w:w="0" w:type="dxa"/>
            <w:bottom w:w="0" w:type="dxa"/>
            <w:right w:w="0" w:type="dxa"/>
          </w:tblCellMar>
        </w:tblPrEx>
        <w:trPr>
          <w:cantSplit/>
          <w:trHeight w:val="578"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大型宣传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2次</w:t>
            </w:r>
          </w:p>
        </w:tc>
      </w:tr>
      <w:tr>
        <w:tblPrEx>
          <w:tblCellMar>
            <w:top w:w="0" w:type="dxa"/>
            <w:left w:w="0" w:type="dxa"/>
            <w:bottom w:w="0" w:type="dxa"/>
            <w:right w:w="0" w:type="dxa"/>
          </w:tblCellMar>
        </w:tblPrEx>
        <w:trPr>
          <w:cantSplit/>
          <w:trHeight w:val="488"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保持冷链设备良好状态</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保证疫苗质量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保证疫苗质量</w:t>
            </w:r>
          </w:p>
        </w:tc>
      </w:tr>
      <w:tr>
        <w:tblPrEx>
          <w:tblCellMar>
            <w:top w:w="0" w:type="dxa"/>
            <w:left w:w="0" w:type="dxa"/>
            <w:bottom w:w="0" w:type="dxa"/>
            <w:right w:w="0" w:type="dxa"/>
          </w:tblCellMar>
        </w:tblPrEx>
        <w:trPr>
          <w:cantSplit/>
          <w:trHeight w:val="70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培训、督导按期完成率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cantSplit/>
          <w:trHeight w:val="81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宣传活动按期完成率</w:t>
            </w:r>
          </w:p>
        </w:tc>
        <w:tc>
          <w:tcPr>
            <w:tcW w:w="23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cantSplit/>
          <w:trHeight w:val="935" w:hRule="atLeast"/>
          <w:jc w:val="center"/>
        </w:trPr>
        <w:tc>
          <w:tcPr>
            <w:tcW w:w="582" w:type="dxa"/>
            <w:vMerge w:val="continue"/>
            <w:tcBorders>
              <w:left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公众满意度</w:t>
            </w:r>
          </w:p>
        </w:tc>
        <w:tc>
          <w:tcPr>
            <w:tcW w:w="23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cantSplit/>
          <w:trHeight w:val="276" w:hRule="atLeast"/>
          <w:jc w:val="center"/>
        </w:trPr>
        <w:tc>
          <w:tcPr>
            <w:tcW w:w="9960" w:type="dxa"/>
            <w:gridSpan w:val="7"/>
            <w:tcBorders>
              <w:bottom w:val="single" w:color="auto" w:sz="4" w:space="0"/>
            </w:tcBorders>
            <w:tcMar>
              <w:top w:w="15" w:type="dxa"/>
              <w:left w:w="15" w:type="dxa"/>
              <w:right w:w="15" w:type="dxa"/>
            </w:tcMar>
            <w:vAlign w:val="center"/>
          </w:tcPr>
          <w:p>
            <w:pPr>
              <w:widowControl/>
              <w:spacing w:line="560" w:lineRule="exact"/>
              <w:jc w:val="center"/>
              <w:textAlignment w:val="center"/>
              <w:rPr>
                <w:rFonts w:ascii="方正小标宋简体" w:eastAsia="方正小标宋简体" w:cs="宋体"/>
                <w:color w:val="000000"/>
                <w:sz w:val="24"/>
              </w:rPr>
            </w:pPr>
            <w:r>
              <w:rPr>
                <w:rFonts w:hint="eastAsia" w:ascii="方正小标宋简体" w:hAnsi="宋体" w:eastAsia="方正小标宋简体" w:cs="宋体"/>
                <w:bCs/>
                <w:color w:val="000000"/>
                <w:kern w:val="0"/>
                <w:sz w:val="36"/>
                <w:szCs w:val="36"/>
              </w:rPr>
              <w:t>项目绩效目标完成情况表</w:t>
            </w:r>
            <w:r>
              <w:rPr>
                <w:rFonts w:hint="eastAsia" w:ascii="方正小标宋简体" w:eastAsia="方正小标宋简体" w:cs="宋体"/>
                <w:bCs/>
                <w:color w:val="000000"/>
                <w:kern w:val="0"/>
                <w:sz w:val="36"/>
                <w:szCs w:val="36"/>
              </w:rPr>
              <w:br w:type="textWrapping"/>
            </w:r>
            <w:r>
              <w:rPr>
                <w:rFonts w:hint="eastAsia" w:ascii="方正小标宋简体" w:hAnsi="宋体" w:eastAsia="方正小标宋简体" w:cs="宋体"/>
                <w:color w:val="000000"/>
                <w:kern w:val="0"/>
                <w:sz w:val="36"/>
                <w:szCs w:val="36"/>
              </w:rPr>
              <w:t>(2020年度)</w:t>
            </w:r>
          </w:p>
        </w:tc>
      </w:tr>
      <w:tr>
        <w:tblPrEx>
          <w:tblCellMar>
            <w:top w:w="0" w:type="dxa"/>
            <w:left w:w="0" w:type="dxa"/>
            <w:bottom w:w="0" w:type="dxa"/>
            <w:right w:w="0" w:type="dxa"/>
          </w:tblCellMar>
        </w:tblPrEx>
        <w:trPr>
          <w:cantSplit/>
          <w:trHeight w:val="276" w:hRule="atLeast"/>
          <w:jc w:val="center"/>
        </w:trPr>
        <w:tc>
          <w:tcPr>
            <w:tcW w:w="2782"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重大疾病预防控制</w:t>
            </w:r>
          </w:p>
        </w:tc>
      </w:tr>
      <w:tr>
        <w:tblPrEx>
          <w:tblCellMar>
            <w:top w:w="0" w:type="dxa"/>
            <w:left w:w="0" w:type="dxa"/>
            <w:bottom w:w="0" w:type="dxa"/>
            <w:right w:w="0" w:type="dxa"/>
          </w:tblCellMar>
        </w:tblPrEx>
        <w:trPr>
          <w:cantSplit/>
          <w:trHeight w:val="276" w:hRule="atLeast"/>
          <w:jc w:val="center"/>
        </w:trPr>
        <w:tc>
          <w:tcPr>
            <w:tcW w:w="2782"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4"/>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市疾控中心</w:t>
            </w:r>
          </w:p>
        </w:tc>
      </w:tr>
      <w:tr>
        <w:tblPrEx>
          <w:tblCellMar>
            <w:top w:w="0" w:type="dxa"/>
            <w:left w:w="0" w:type="dxa"/>
            <w:bottom w:w="0" w:type="dxa"/>
            <w:right w:w="0" w:type="dxa"/>
          </w:tblCellMar>
        </w:tblPrEx>
        <w:trPr>
          <w:cantSplit/>
          <w:trHeight w:val="438"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w:t>
            </w:r>
          </w:p>
        </w:tc>
      </w:tr>
      <w:tr>
        <w:tblPrEx>
          <w:tblCellMar>
            <w:top w:w="0" w:type="dxa"/>
            <w:left w:w="0" w:type="dxa"/>
            <w:bottom w:w="0" w:type="dxa"/>
            <w:right w:w="0" w:type="dxa"/>
          </w:tblCellMar>
        </w:tblPrEx>
        <w:trPr>
          <w:cantSplit/>
          <w:trHeight w:val="52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w:t>
            </w:r>
          </w:p>
        </w:tc>
      </w:tr>
      <w:tr>
        <w:tblPrEx>
          <w:tblCellMar>
            <w:top w:w="0" w:type="dxa"/>
            <w:left w:w="0" w:type="dxa"/>
            <w:bottom w:w="0" w:type="dxa"/>
            <w:right w:w="0" w:type="dxa"/>
          </w:tblCellMar>
        </w:tblPrEx>
        <w:trPr>
          <w:cantSplit/>
          <w:trHeight w:val="537"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cantSplit/>
          <w:trHeight w:val="643"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59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cantSplit/>
          <w:trHeight w:val="115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59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年度内完成艾滋病、结核病、地方病、职业病、流感等重大疾病的流行病学调查、处置和检测，及对县区业务人员进行培训、督导。</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年度内完成艾滋病、结核病、地方病、职业病、流感等重大疾病的流行病学调查、处置和检测，及对县区业务人员进行培训、督导。</w:t>
            </w:r>
          </w:p>
        </w:tc>
      </w:tr>
      <w:tr>
        <w:tblPrEx>
          <w:tblCellMar>
            <w:top w:w="0" w:type="dxa"/>
            <w:left w:w="0" w:type="dxa"/>
            <w:bottom w:w="0" w:type="dxa"/>
            <w:right w:w="0" w:type="dxa"/>
          </w:tblCellMar>
        </w:tblPrEx>
        <w:trPr>
          <w:cantSplit/>
          <w:trHeight w:val="840" w:hRule="atLeast"/>
          <w:jc w:val="center"/>
        </w:trPr>
        <w:tc>
          <w:tcPr>
            <w:tcW w:w="5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cantSplit/>
          <w:trHeight w:val="525"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对县区督导次数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w:t>
            </w:r>
          </w:p>
        </w:tc>
      </w:tr>
      <w:tr>
        <w:tblPrEx>
          <w:tblCellMar>
            <w:top w:w="0" w:type="dxa"/>
            <w:left w:w="0" w:type="dxa"/>
            <w:bottom w:w="0" w:type="dxa"/>
            <w:right w:w="0" w:type="dxa"/>
          </w:tblCellMar>
        </w:tblPrEx>
        <w:trPr>
          <w:cantSplit/>
          <w:trHeight w:val="578"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开展培训次数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200人次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200人次</w:t>
            </w:r>
          </w:p>
        </w:tc>
      </w:tr>
      <w:tr>
        <w:tblPrEx>
          <w:tblCellMar>
            <w:top w:w="0" w:type="dxa"/>
            <w:left w:w="0" w:type="dxa"/>
            <w:bottom w:w="0" w:type="dxa"/>
            <w:right w:w="0" w:type="dxa"/>
          </w:tblCellMar>
        </w:tblPrEx>
        <w:trPr>
          <w:cantSplit/>
          <w:trHeight w:val="488"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病人登记管理率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≥85%</w:t>
            </w:r>
          </w:p>
        </w:tc>
      </w:tr>
      <w:tr>
        <w:tblPrEx>
          <w:tblCellMar>
            <w:top w:w="0" w:type="dxa"/>
            <w:left w:w="0" w:type="dxa"/>
            <w:bottom w:w="0" w:type="dxa"/>
            <w:right w:w="0" w:type="dxa"/>
          </w:tblCellMar>
        </w:tblPrEx>
        <w:trPr>
          <w:cantSplit/>
          <w:trHeight w:val="70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DOTS覆盖率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cantSplit/>
          <w:trHeight w:val="81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感染、死亡率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有所降低</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有所降低</w:t>
            </w:r>
          </w:p>
        </w:tc>
      </w:tr>
      <w:tr>
        <w:tblPrEx>
          <w:tblCellMar>
            <w:top w:w="0" w:type="dxa"/>
            <w:left w:w="0" w:type="dxa"/>
            <w:bottom w:w="0" w:type="dxa"/>
            <w:right w:w="0" w:type="dxa"/>
          </w:tblCellMar>
        </w:tblPrEx>
        <w:trPr>
          <w:cantSplit/>
          <w:trHeight w:val="675"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项目完成指标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执行期限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年度内</w:t>
            </w:r>
          </w:p>
        </w:tc>
      </w:tr>
      <w:tr>
        <w:tblPrEx>
          <w:tblCellMar>
            <w:top w:w="0" w:type="dxa"/>
            <w:left w:w="0" w:type="dxa"/>
            <w:bottom w:w="0" w:type="dxa"/>
            <w:right w:w="0" w:type="dxa"/>
          </w:tblCellMar>
        </w:tblPrEx>
        <w:trPr>
          <w:cantSplit/>
          <w:trHeight w:val="69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财政拨款占比率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cantSplit/>
          <w:trHeight w:val="951"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耐多药诊治工作覆盖率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≥71%</w:t>
            </w:r>
          </w:p>
        </w:tc>
      </w:tr>
      <w:tr>
        <w:tblPrEx>
          <w:tblCellMar>
            <w:top w:w="0" w:type="dxa"/>
            <w:left w:w="0" w:type="dxa"/>
            <w:bottom w:w="0" w:type="dxa"/>
            <w:right w:w="0" w:type="dxa"/>
          </w:tblCellMar>
        </w:tblPrEx>
        <w:trPr>
          <w:cantSplit/>
          <w:trHeight w:val="681" w:hRule="atLeast"/>
          <w:jc w:val="center"/>
        </w:trPr>
        <w:tc>
          <w:tcPr>
            <w:tcW w:w="58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bl>
    <w:p>
      <w:pPr>
        <w:widowControl/>
        <w:spacing w:line="560" w:lineRule="exact"/>
        <w:jc w:val="center"/>
        <w:textAlignment w:val="center"/>
        <w:rPr>
          <w:rFonts w:ascii="方正小标宋简体" w:hAnsi="宋体" w:eastAsia="方正小标宋简体" w:cs="宋体"/>
          <w:bCs/>
          <w:color w:val="000000"/>
          <w:kern w:val="0"/>
          <w:sz w:val="36"/>
          <w:szCs w:val="36"/>
        </w:rPr>
      </w:pPr>
      <w:r>
        <w:rPr>
          <w:rFonts w:hint="eastAsia" w:ascii="方正小标宋简体" w:hAnsi="宋体" w:eastAsia="方正小标宋简体" w:cs="宋体"/>
          <w:bCs/>
          <w:color w:val="000000"/>
          <w:kern w:val="0"/>
          <w:sz w:val="36"/>
          <w:szCs w:val="36"/>
        </w:rPr>
        <w:t>项目绩效目标完成情况表</w:t>
      </w:r>
    </w:p>
    <w:p>
      <w:pPr>
        <w:widowControl/>
        <w:spacing w:line="560" w:lineRule="exact"/>
        <w:jc w:val="center"/>
        <w:textAlignment w:val="center"/>
        <w:rPr>
          <w:rFonts w:ascii="方正小标宋简体" w:hAnsi="宋体" w:eastAsia="方正小标宋简体" w:cs="宋体"/>
          <w:bCs/>
          <w:color w:val="000000"/>
          <w:kern w:val="0"/>
          <w:sz w:val="36"/>
          <w:szCs w:val="36"/>
        </w:rPr>
      </w:pPr>
      <w:r>
        <w:rPr>
          <w:rFonts w:ascii="方正小标宋简体" w:hAnsi="宋体" w:eastAsia="方正小标宋简体" w:cs="宋体"/>
          <w:bCs/>
          <w:color w:val="000000"/>
          <w:kern w:val="0"/>
          <w:sz w:val="36"/>
          <w:szCs w:val="36"/>
        </w:rPr>
        <w:t>(2020</w:t>
      </w:r>
      <w:r>
        <w:rPr>
          <w:rFonts w:hint="eastAsia" w:ascii="方正小标宋简体" w:hAnsi="宋体" w:eastAsia="方正小标宋简体" w:cs="宋体"/>
          <w:bCs/>
          <w:color w:val="000000"/>
          <w:kern w:val="0"/>
          <w:sz w:val="36"/>
          <w:szCs w:val="36"/>
        </w:rPr>
        <w:t>年度</w:t>
      </w:r>
      <w:r>
        <w:rPr>
          <w:rFonts w:ascii="方正小标宋简体" w:hAnsi="宋体" w:eastAsia="方正小标宋简体" w:cs="宋体"/>
          <w:bCs/>
          <w:color w:val="000000"/>
          <w:kern w:val="0"/>
          <w:sz w:val="36"/>
          <w:szCs w:val="36"/>
        </w:rPr>
        <w:t>)</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582"/>
        <w:gridCol w:w="1175"/>
        <w:gridCol w:w="1025"/>
        <w:gridCol w:w="2392"/>
        <w:gridCol w:w="2394"/>
        <w:gridCol w:w="2392"/>
      </w:tblGrid>
      <w:tr>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卫生监测</w:t>
            </w:r>
          </w:p>
        </w:tc>
      </w:tr>
      <w:tr>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市疾控中心</w:t>
            </w:r>
          </w:p>
        </w:tc>
      </w:tr>
      <w:tr>
        <w:trPr>
          <w:trHeight w:val="438"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w:t>
            </w:r>
          </w:p>
        </w:tc>
      </w:tr>
      <w:tr>
        <w:trPr>
          <w:trHeight w:val="52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w:t>
            </w:r>
          </w:p>
        </w:tc>
      </w:tr>
      <w:tr>
        <w:trPr>
          <w:trHeight w:val="537"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rPr>
          <w:trHeight w:val="276"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rPr>
          <w:trHeight w:val="115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年度内完成食品安全风险监测、城乡饮用水水质监测、公共场所、医疗机构及学校卫生消毒效果监测，厂矿粉尘、X线放射及职业健康监测。</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年度内完成食品安全风险监测、城乡饮用水水质监测、公共场所、医疗机构及学校卫生消毒效果监测，厂矿粉尘、X线放射及职业健康监测。</w:t>
            </w:r>
          </w:p>
        </w:tc>
      </w:tr>
      <w:tr>
        <w:trPr>
          <w:trHeight w:val="1042" w:hRule="atLeast"/>
          <w:jc w:val="center"/>
        </w:trPr>
        <w:tc>
          <w:tcPr>
            <w:tcW w:w="5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rPr>
          <w:trHeight w:val="525"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业务培训次数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6次</w:t>
            </w:r>
          </w:p>
        </w:tc>
      </w:tr>
      <w:tr>
        <w:trPr>
          <w:trHeight w:val="578"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样品采购数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4400份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4500份</w:t>
            </w:r>
          </w:p>
        </w:tc>
      </w:tr>
      <w:tr>
        <w:trPr>
          <w:trHeight w:val="488"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培训参与度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rPr>
          <w:trHeight w:val="70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监测采样报告及时率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tc>
      </w:tr>
      <w:tr>
        <w:trPr>
          <w:trHeight w:val="725"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监测及时性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rPr>
          <w:trHeight w:val="675"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财政拨款占比率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rPr>
          <w:trHeight w:val="69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保证人民的饮水、饮食安全</w:t>
            </w:r>
          </w:p>
        </w:tc>
        <w:tc>
          <w:tcPr>
            <w:tcW w:w="23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有效保障</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有效保障</w:t>
            </w:r>
          </w:p>
        </w:tc>
      </w:tr>
      <w:tr>
        <w:trPr>
          <w:trHeight w:val="843" w:hRule="atLeast"/>
          <w:jc w:val="center"/>
        </w:trPr>
        <w:tc>
          <w:tcPr>
            <w:tcW w:w="582" w:type="dxa"/>
            <w:vMerge w:val="continue"/>
            <w:tcBorders>
              <w:left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公众满意度</w:t>
            </w:r>
          </w:p>
        </w:tc>
        <w:tc>
          <w:tcPr>
            <w:tcW w:w="23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rPr>
          <w:trHeight w:val="276" w:hRule="atLeast"/>
          <w:jc w:val="center"/>
        </w:trPr>
        <w:tc>
          <w:tcPr>
            <w:tcW w:w="2782" w:type="dxa"/>
            <w:gridSpan w:val="3"/>
            <w:tcMar>
              <w:top w:w="15" w:type="dxa"/>
              <w:left w:w="15" w:type="dxa"/>
              <w:right w:w="15" w:type="dxa"/>
            </w:tcMar>
            <w:vAlign w:val="center"/>
          </w:tcPr>
          <w:p>
            <w:pPr>
              <w:widowControl/>
              <w:jc w:val="center"/>
              <w:textAlignment w:val="center"/>
              <w:rPr>
                <w:rFonts w:ascii="宋体" w:hAnsi="宋体" w:cs="宋体"/>
                <w:color w:val="000000"/>
                <w:kern w:val="0"/>
                <w:sz w:val="24"/>
              </w:rPr>
            </w:pPr>
          </w:p>
        </w:tc>
        <w:tc>
          <w:tcPr>
            <w:tcW w:w="7178" w:type="dxa"/>
            <w:gridSpan w:val="3"/>
            <w:tcMar>
              <w:top w:w="15" w:type="dxa"/>
              <w:left w:w="15" w:type="dxa"/>
              <w:right w:w="15" w:type="dxa"/>
            </w:tcMar>
            <w:vAlign w:val="center"/>
          </w:tcPr>
          <w:p>
            <w:pPr>
              <w:widowControl/>
              <w:jc w:val="center"/>
              <w:textAlignment w:val="center"/>
              <w:rPr>
                <w:rFonts w:ascii="宋体" w:cs="宋体"/>
                <w:color w:val="000000"/>
                <w:sz w:val="24"/>
              </w:rPr>
            </w:pPr>
          </w:p>
        </w:tc>
      </w:tr>
      <w:tr>
        <w:trPr>
          <w:trHeight w:val="276" w:hRule="atLeast"/>
          <w:jc w:val="center"/>
        </w:trPr>
        <w:tc>
          <w:tcPr>
            <w:tcW w:w="9960" w:type="dxa"/>
            <w:gridSpan w:val="6"/>
            <w:tcBorders>
              <w:bottom w:val="single" w:color="auto" w:sz="4" w:space="0"/>
            </w:tcBorders>
            <w:tcMar>
              <w:top w:w="15" w:type="dxa"/>
              <w:left w:w="15" w:type="dxa"/>
              <w:right w:w="15" w:type="dxa"/>
            </w:tcMar>
            <w:vAlign w:val="center"/>
          </w:tcPr>
          <w:p>
            <w:pPr>
              <w:widowControl/>
              <w:spacing w:line="560" w:lineRule="exact"/>
              <w:jc w:val="center"/>
              <w:textAlignment w:val="center"/>
              <w:rPr>
                <w:rFonts w:ascii="宋体" w:cs="宋体"/>
                <w:color w:val="000000"/>
                <w:sz w:val="24"/>
              </w:rPr>
            </w:pPr>
            <w:r>
              <w:rPr>
                <w:rFonts w:hint="eastAsia" w:ascii="方正小标宋简体" w:hAnsi="宋体" w:eastAsia="方正小标宋简体" w:cs="宋体"/>
                <w:bCs/>
                <w:color w:val="000000"/>
                <w:kern w:val="0"/>
                <w:sz w:val="36"/>
                <w:szCs w:val="36"/>
              </w:rPr>
              <w:t>项目绩效目标完成情况表</w:t>
            </w:r>
            <w:r>
              <w:rPr>
                <w:rFonts w:ascii="方正小标宋简体" w:hAnsi="宋体" w:eastAsia="方正小标宋简体" w:cs="宋体"/>
                <w:bCs/>
                <w:color w:val="000000"/>
                <w:kern w:val="0"/>
                <w:sz w:val="36"/>
                <w:szCs w:val="36"/>
              </w:rPr>
              <w:br w:type="textWrapping"/>
            </w:r>
            <w:r>
              <w:rPr>
                <w:rFonts w:ascii="方正小标宋简体" w:hAnsi="宋体" w:eastAsia="方正小标宋简体" w:cs="宋体"/>
                <w:bCs/>
                <w:color w:val="000000"/>
                <w:kern w:val="0"/>
                <w:sz w:val="36"/>
                <w:szCs w:val="36"/>
              </w:rPr>
              <w:t>(2020</w:t>
            </w:r>
            <w:r>
              <w:rPr>
                <w:rFonts w:hint="eastAsia" w:ascii="方正小标宋简体" w:hAnsi="宋体" w:eastAsia="方正小标宋简体" w:cs="宋体"/>
                <w:bCs/>
                <w:color w:val="000000"/>
                <w:kern w:val="0"/>
                <w:sz w:val="36"/>
                <w:szCs w:val="36"/>
              </w:rPr>
              <w:t>年度</w:t>
            </w:r>
            <w:r>
              <w:rPr>
                <w:rFonts w:ascii="方正小标宋简体" w:hAnsi="宋体" w:eastAsia="方正小标宋简体" w:cs="宋体"/>
                <w:bCs/>
                <w:color w:val="000000"/>
                <w:kern w:val="0"/>
                <w:sz w:val="36"/>
                <w:szCs w:val="36"/>
              </w:rPr>
              <w:t>)</w:t>
            </w:r>
          </w:p>
        </w:tc>
      </w:tr>
      <w:tr>
        <w:trPr>
          <w:trHeight w:val="276" w:hRule="atLeast"/>
          <w:jc w:val="center"/>
        </w:trPr>
        <w:tc>
          <w:tcPr>
            <w:tcW w:w="2782"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网络运行维护费</w:t>
            </w:r>
          </w:p>
        </w:tc>
      </w:tr>
      <w:tr>
        <w:trPr>
          <w:trHeight w:val="276" w:hRule="atLeast"/>
          <w:jc w:val="center"/>
        </w:trPr>
        <w:tc>
          <w:tcPr>
            <w:tcW w:w="2782"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市疾控中心</w:t>
            </w:r>
          </w:p>
        </w:tc>
      </w:tr>
      <w:tr>
        <w:trPr>
          <w:trHeight w:val="438"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w:t>
            </w:r>
          </w:p>
        </w:tc>
      </w:tr>
      <w:tr>
        <w:trPr>
          <w:trHeight w:val="52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w:t>
            </w:r>
          </w:p>
        </w:tc>
      </w:tr>
      <w:tr>
        <w:trPr>
          <w:trHeight w:val="537"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rPr>
          <w:trHeight w:val="276"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rPr>
          <w:trHeight w:val="115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主要开展门户网站日常维护和完成各科室业务软件正常使用和中心机房硬件设备维护工作，需投入10万元财政项目资金，实现单位网络正常运行的目的，取得良好社会效益。</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主要开展门户网站日常维护和完成各科室业务软件正常使用和中心机房硬件设备维护工作，需投入10万元财政项目资金，实现单位网络正常运行的目的，取得良好社会效益。</w:t>
            </w:r>
          </w:p>
        </w:tc>
      </w:tr>
      <w:tr>
        <w:trPr>
          <w:trHeight w:val="794" w:hRule="atLeast"/>
          <w:jc w:val="center"/>
        </w:trPr>
        <w:tc>
          <w:tcPr>
            <w:tcW w:w="5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rPr>
          <w:trHeight w:val="525"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门户网站维护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升级改版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升级改版</w:t>
            </w:r>
          </w:p>
        </w:tc>
      </w:tr>
      <w:tr>
        <w:trPr>
          <w:trHeight w:val="578"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网站正常运转率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rPr>
          <w:trHeight w:val="488"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业务软件系统正常运转率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rPr>
          <w:trHeight w:val="70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门户网站运行维护响应时间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≤30分钟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≤30分钟</w:t>
            </w:r>
          </w:p>
        </w:tc>
      </w:tr>
      <w:tr>
        <w:trPr>
          <w:trHeight w:val="81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机房故障修复相应时间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≤3小时</w:t>
            </w:r>
          </w:p>
        </w:tc>
      </w:tr>
      <w:tr>
        <w:trPr>
          <w:trHeight w:val="675"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门户网站公共主页点击率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≥20000次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≥20000次</w:t>
            </w:r>
          </w:p>
        </w:tc>
      </w:tr>
      <w:tr>
        <w:trPr>
          <w:trHeight w:val="69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门户网站正常使用年限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rPr>
          <w:trHeight w:val="951"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业务软件应用系统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rPr>
          <w:trHeight w:val="823" w:hRule="atLeast"/>
          <w:jc w:val="center"/>
        </w:trPr>
        <w:tc>
          <w:tcPr>
            <w:tcW w:w="58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使用人员满意度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bl>
    <w:p>
      <w:pPr>
        <w:spacing w:line="580" w:lineRule="exact"/>
        <w:ind w:left="630"/>
        <w:rPr>
          <w:rFonts w:ascii="仿宋_GB2312" w:hAnsi="仿宋_GB2312" w:eastAsia="仿宋_GB2312" w:cs="仿宋_GB2312"/>
          <w:b/>
          <w:sz w:val="32"/>
          <w:szCs w:val="32"/>
        </w:rPr>
      </w:pPr>
      <w:r>
        <w:rPr>
          <w:rFonts w:hint="eastAsia" w:ascii="仿宋_GB2312" w:hAnsi="楷体_GB2312" w:eastAsia="仿宋_GB2312" w:cs="楷体_GB2312"/>
          <w:b/>
          <w:sz w:val="32"/>
          <w:szCs w:val="32"/>
        </w:rPr>
        <w:t>2.部门绩效评价结果。</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年部门整体支出绩效评价情况开展自评，《巴中市疾病预防控制中心</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年部门整体支出绩效评价报告》见附件。单位未自行组织其他项目绩效评价。</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600" w:lineRule="atLeast"/>
        <w:ind w:firstLine="642" w:firstLineChars="200"/>
        <w:rPr>
          <w:rFonts w:ascii="仿宋_GB2312" w:eastAsia="仿宋_GB2312"/>
          <w:b/>
          <w:color w:val="000000"/>
          <w:sz w:val="32"/>
          <w:szCs w:val="32"/>
        </w:rPr>
      </w:pPr>
    </w:p>
    <w:p>
      <w:pPr>
        <w:spacing w:line="600" w:lineRule="atLeast"/>
        <w:ind w:firstLine="642" w:firstLineChars="200"/>
        <w:rPr>
          <w:rFonts w:ascii="仿宋_GB2312" w:eastAsia="仿宋_GB2312"/>
          <w:b/>
          <w:color w:val="000000"/>
          <w:sz w:val="32"/>
          <w:szCs w:val="32"/>
        </w:rPr>
      </w:pPr>
    </w:p>
    <w:p>
      <w:pPr>
        <w:spacing w:line="600" w:lineRule="atLeast"/>
        <w:ind w:firstLine="642" w:firstLineChars="200"/>
        <w:rPr>
          <w:rFonts w:ascii="仿宋_GB2312" w:eastAsia="仿宋_GB2312"/>
          <w:b/>
          <w:color w:val="000000"/>
          <w:sz w:val="32"/>
          <w:szCs w:val="32"/>
        </w:rPr>
      </w:pPr>
    </w:p>
    <w:p>
      <w:pPr>
        <w:spacing w:line="600" w:lineRule="atLeast"/>
        <w:ind w:firstLine="642" w:firstLineChars="200"/>
        <w:rPr>
          <w:rFonts w:ascii="仿宋_GB2312" w:eastAsia="仿宋_GB2312"/>
          <w:b/>
          <w:color w:val="000000"/>
          <w:sz w:val="32"/>
          <w:szCs w:val="32"/>
        </w:rPr>
      </w:pPr>
    </w:p>
    <w:p>
      <w:pPr>
        <w:spacing w:line="600" w:lineRule="atLeast"/>
        <w:ind w:firstLine="642" w:firstLineChars="200"/>
        <w:rPr>
          <w:rFonts w:ascii="仿宋_GB2312" w:eastAsia="仿宋_GB2312"/>
          <w:b/>
          <w:color w:val="000000"/>
          <w:sz w:val="32"/>
          <w:szCs w:val="32"/>
        </w:rPr>
      </w:pPr>
    </w:p>
    <w:p>
      <w:pPr>
        <w:spacing w:line="600" w:lineRule="atLeast"/>
        <w:ind w:firstLine="642" w:firstLineChars="200"/>
        <w:rPr>
          <w:rFonts w:ascii="仿宋_GB2312" w:eastAsia="仿宋_GB2312"/>
          <w:b/>
          <w:color w:val="000000"/>
          <w:sz w:val="32"/>
          <w:szCs w:val="32"/>
        </w:rPr>
      </w:pPr>
    </w:p>
    <w:p>
      <w:pPr>
        <w:spacing w:line="600" w:lineRule="atLeast"/>
        <w:ind w:firstLine="642" w:firstLineChars="200"/>
        <w:rPr>
          <w:rFonts w:ascii="仿宋_GB2312" w:eastAsia="仿宋_GB2312"/>
          <w:b/>
          <w:color w:val="000000"/>
          <w:sz w:val="32"/>
          <w:szCs w:val="32"/>
        </w:rPr>
      </w:pPr>
    </w:p>
    <w:p>
      <w:pPr>
        <w:spacing w:line="600" w:lineRule="atLeast"/>
        <w:ind w:firstLine="642" w:firstLineChars="200"/>
        <w:rPr>
          <w:rFonts w:ascii="仿宋_GB2312" w:eastAsia="仿宋_GB2312"/>
          <w:b/>
          <w:color w:val="000000"/>
          <w:sz w:val="32"/>
          <w:szCs w:val="32"/>
        </w:rPr>
      </w:pPr>
    </w:p>
    <w:p>
      <w:pPr>
        <w:spacing w:line="600" w:lineRule="atLeast"/>
        <w:ind w:firstLine="642" w:firstLineChars="200"/>
        <w:rPr>
          <w:rFonts w:ascii="仿宋_GB2312" w:eastAsia="仿宋_GB2312"/>
          <w:b/>
          <w:color w:val="000000"/>
          <w:sz w:val="32"/>
          <w:szCs w:val="32"/>
        </w:rPr>
      </w:pPr>
    </w:p>
    <w:p>
      <w:pPr>
        <w:spacing w:line="600" w:lineRule="atLeast"/>
        <w:ind w:firstLine="642" w:firstLineChars="200"/>
        <w:rPr>
          <w:rFonts w:ascii="仿宋_GB2312" w:eastAsia="仿宋_GB2312"/>
          <w:b/>
          <w:color w:val="000000"/>
          <w:sz w:val="32"/>
          <w:szCs w:val="32"/>
        </w:rPr>
      </w:pPr>
    </w:p>
    <w:p>
      <w:pPr>
        <w:spacing w:line="600" w:lineRule="atLeast"/>
        <w:ind w:firstLine="642" w:firstLineChars="200"/>
        <w:rPr>
          <w:rFonts w:ascii="仿宋_GB2312" w:eastAsia="仿宋_GB2312"/>
          <w:b/>
          <w:color w:val="000000"/>
          <w:sz w:val="32"/>
          <w:szCs w:val="32"/>
        </w:rPr>
      </w:pPr>
    </w:p>
    <w:p>
      <w:pPr>
        <w:spacing w:line="600" w:lineRule="atLeast"/>
        <w:ind w:firstLine="642" w:firstLineChars="200"/>
        <w:rPr>
          <w:rFonts w:ascii="仿宋_GB2312" w:eastAsia="仿宋_GB2312"/>
          <w:b/>
          <w:color w:val="000000"/>
          <w:sz w:val="32"/>
          <w:szCs w:val="32"/>
        </w:rPr>
      </w:pPr>
    </w:p>
    <w:p>
      <w:pPr>
        <w:spacing w:line="600" w:lineRule="atLeast"/>
        <w:ind w:firstLine="642" w:firstLineChars="200"/>
        <w:rPr>
          <w:rFonts w:ascii="仿宋_GB2312" w:eastAsia="仿宋_GB2312"/>
          <w:b/>
          <w:color w:val="000000"/>
          <w:sz w:val="32"/>
          <w:szCs w:val="32"/>
        </w:rPr>
      </w:pPr>
    </w:p>
    <w:p>
      <w:pPr>
        <w:spacing w:line="600" w:lineRule="atLeast"/>
        <w:ind w:firstLine="642"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p>
    <w:p>
      <w:pPr>
        <w:numPr>
          <w:ilvl w:val="0"/>
          <w:numId w:val="1"/>
        </w:numPr>
        <w:spacing w:line="600" w:lineRule="exact"/>
        <w:ind w:firstLine="660" w:firstLineChars="150"/>
        <w:jc w:val="center"/>
        <w:outlineLvl w:val="0"/>
        <w:rPr>
          <w:rStyle w:val="28"/>
          <w:rFonts w:ascii="黑体" w:hAnsi="黑体" w:eastAsia="黑体"/>
          <w:b w:val="0"/>
        </w:rPr>
      </w:pPr>
      <w:bookmarkStart w:id="55" w:name="_Toc15377225"/>
      <w:bookmarkStart w:id="56" w:name="_Toc15396613"/>
      <w:r>
        <w:rPr>
          <w:rStyle w:val="28"/>
          <w:rFonts w:hint="eastAsia" w:ascii="黑体" w:hAnsi="黑体" w:eastAsia="黑体"/>
          <w:b w:val="0"/>
        </w:rPr>
        <w:t>名词解释</w:t>
      </w:r>
      <w:bookmarkEnd w:id="55"/>
      <w:bookmarkEnd w:id="56"/>
    </w:p>
    <w:p>
      <w:pPr>
        <w:spacing w:line="600" w:lineRule="exact"/>
        <w:jc w:val="left"/>
        <w:rPr>
          <w:rFonts w:ascii="宋体"/>
          <w:b/>
          <w:color w:val="000000"/>
          <w:sz w:val="44"/>
          <w:szCs w:val="44"/>
        </w:rPr>
      </w:pP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一般公共服务：指提供一般公共服务的支出。</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社会保障和就业（类）行政事业单位离退休（款）机关事业单位基本养老保险缴费（项）</w:t>
      </w:r>
      <w:r>
        <w:rPr>
          <w:rFonts w:ascii="仿宋_GB2312" w:eastAsia="仿宋_GB2312"/>
          <w:color w:val="000000"/>
          <w:sz w:val="32"/>
          <w:szCs w:val="32"/>
        </w:rPr>
        <w:t xml:space="preserve">: </w:t>
      </w:r>
      <w:r>
        <w:rPr>
          <w:rFonts w:hint="eastAsia" w:ascii="仿宋_GB2312" w:eastAsia="仿宋_GB2312"/>
          <w:color w:val="000000"/>
          <w:sz w:val="32"/>
          <w:szCs w:val="32"/>
        </w:rPr>
        <w:t>指单位对职工的基本养老保险缴费支出。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11.社会保障和就业（类）行政事业单位离退休（款）其他行政事业单位离退休支出（项）: 指单位对职工的其他行政事业单位离退休方面的支出。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12</w:t>
      </w:r>
      <w:r>
        <w:rPr>
          <w:rFonts w:ascii="仿宋_GB2312" w:eastAsia="仿宋_GB2312"/>
          <w:color w:val="000000"/>
          <w:sz w:val="32"/>
          <w:szCs w:val="32"/>
        </w:rPr>
        <w:t>.</w:t>
      </w:r>
      <w:r>
        <w:rPr>
          <w:rFonts w:hint="eastAsia" w:ascii="仿宋_GB2312" w:eastAsia="仿宋_GB2312"/>
          <w:color w:val="000000"/>
          <w:sz w:val="32"/>
          <w:szCs w:val="32"/>
        </w:rPr>
        <w:t>卫生健康（类）公共卫生（款）疾病预防控制机构（项）</w:t>
      </w:r>
      <w:r>
        <w:rPr>
          <w:rFonts w:ascii="仿宋_GB2312" w:eastAsia="仿宋_GB2312"/>
          <w:color w:val="000000"/>
          <w:sz w:val="32"/>
          <w:szCs w:val="32"/>
        </w:rPr>
        <w:t>:</w:t>
      </w:r>
      <w:r>
        <w:rPr>
          <w:rFonts w:hint="eastAsia" w:ascii="仿宋_GB2312" w:eastAsia="仿宋_GB2312"/>
          <w:color w:val="000000"/>
          <w:sz w:val="32"/>
          <w:szCs w:val="32"/>
        </w:rPr>
        <w:t>指本单位保障机构正常运转的支出。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 xml:space="preserve"> 卫生健康（类）公共卫生（款）基本公共卫生服务（项）：指免疫规划等基本公共卫生服务相关支出。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 xml:space="preserve"> 卫生健康（类）公共卫生（款）重大公共卫生专项（项）：指包括食品风险监测、职业病防治、重大疾病预防控制等专项。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 xml:space="preserve"> 卫生健康（类）公共卫生（款）突发公共卫生事件应急处理（项）：指突发公共卫生应急处理专项。</w:t>
      </w:r>
    </w:p>
    <w:p>
      <w:pPr>
        <w:spacing w:line="560" w:lineRule="exact"/>
        <w:ind w:firstLine="640" w:firstLineChars="200"/>
        <w:rPr>
          <w:rFonts w:hint="eastAsia" w:ascii="仿宋" w:hAnsi="仿宋" w:eastAsia="仿宋"/>
          <w:spacing w:val="-6"/>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 xml:space="preserve"> 卫生健康（类）公共卫生（款）其他公共卫生支出（项）：指其他用于公共卫生服务项目。</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 xml:space="preserve"> 卫生健康（类）行政事业单位医疗（款）事业单位医疗（项）：指单位的基本医疗保险缴费经费、公费医疗经费和按国家规定享受离休人员待遇人员的医疗经费。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18</w:t>
      </w:r>
      <w:r>
        <w:rPr>
          <w:rFonts w:ascii="仿宋_GB2312" w:eastAsia="仿宋_GB2312"/>
          <w:color w:val="000000"/>
          <w:sz w:val="32"/>
          <w:szCs w:val="32"/>
        </w:rPr>
        <w:t>.</w:t>
      </w:r>
      <w:r>
        <w:rPr>
          <w:rFonts w:hint="eastAsia" w:ascii="仿宋_GB2312" w:eastAsia="仿宋_GB2312"/>
          <w:color w:val="000000"/>
          <w:sz w:val="32"/>
          <w:szCs w:val="32"/>
        </w:rPr>
        <w:t xml:space="preserve"> 卫生健康（类）其他卫生健康支出（款）其他卫生健康支出（项）：指单位除基本公共卫生、重大公共卫生以外的其他疾控专项。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19</w:t>
      </w:r>
      <w:r>
        <w:rPr>
          <w:rFonts w:ascii="仿宋_GB2312" w:eastAsia="仿宋_GB2312"/>
          <w:color w:val="000000"/>
          <w:sz w:val="32"/>
          <w:szCs w:val="32"/>
        </w:rPr>
        <w:t>.</w:t>
      </w:r>
      <w:r>
        <w:rPr>
          <w:rFonts w:hint="eastAsia" w:ascii="仿宋_GB2312" w:eastAsia="仿宋_GB2312"/>
          <w:color w:val="000000"/>
          <w:sz w:val="32"/>
          <w:szCs w:val="32"/>
        </w:rPr>
        <w:t>住房保障支出（类）住房改革支出（款）住房公积金（项）：指单位对职工的住房公积金缴费支出。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21</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22</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6"/>
        <w:spacing w:line="56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23</w:t>
      </w:r>
      <w:r>
        <w:rPr>
          <w:rFonts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24</w:t>
      </w:r>
      <w:r>
        <w:rPr>
          <w:rFonts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仿宋_GB2312" w:eastAsia="仿宋_GB2312"/>
          <w:color w:val="000000"/>
          <w:sz w:val="32"/>
          <w:szCs w:val="32"/>
        </w:rPr>
      </w:pPr>
      <w:bookmarkStart w:id="57" w:name="_Toc15377226"/>
      <w:bookmarkStart w:id="58" w:name="_Toc15396618"/>
    </w:p>
    <w:p>
      <w:pPr>
        <w:spacing w:line="600" w:lineRule="exact"/>
        <w:jc w:val="center"/>
        <w:outlineLvl w:val="0"/>
        <w:rPr>
          <w:rFonts w:ascii="仿宋_GB2312" w:eastAsia="仿宋_GB2312"/>
          <w:color w:val="000000"/>
          <w:sz w:val="32"/>
          <w:szCs w:val="32"/>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8"/>
          <w:rFonts w:ascii="黑体" w:hAnsi="黑体" w:eastAsia="黑体"/>
          <w:b w:val="0"/>
        </w:rPr>
      </w:pPr>
      <w:bookmarkStart w:id="59" w:name="_Toc15396614"/>
      <w:r>
        <w:rPr>
          <w:rFonts w:hint="eastAsia" w:ascii="黑体" w:hAnsi="黑体" w:eastAsia="黑体"/>
          <w:color w:val="000000"/>
          <w:sz w:val="44"/>
          <w:szCs w:val="44"/>
        </w:rPr>
        <w:t>第</w:t>
      </w:r>
      <w:r>
        <w:rPr>
          <w:rStyle w:val="28"/>
          <w:rFonts w:hint="eastAsia" w:ascii="黑体" w:hAnsi="黑体" w:eastAsia="黑体"/>
          <w:b w:val="0"/>
        </w:rPr>
        <w:t>四部分</w:t>
      </w:r>
      <w:r>
        <w:rPr>
          <w:rStyle w:val="28"/>
          <w:rFonts w:ascii="黑体" w:hAnsi="黑体" w:eastAsia="黑体"/>
          <w:b w:val="0"/>
        </w:rPr>
        <w:t xml:space="preserve"> </w:t>
      </w:r>
      <w:r>
        <w:rPr>
          <w:rStyle w:val="28"/>
          <w:rFonts w:hint="eastAsia" w:ascii="黑体" w:hAnsi="黑体" w:eastAsia="黑体"/>
          <w:b w:val="0"/>
        </w:rPr>
        <w:t>附件</w:t>
      </w:r>
      <w:bookmarkEnd w:id="59"/>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巴中市疾病预防控制中心</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整体支出</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绩效评价报告</w:t>
      </w:r>
    </w:p>
    <w:p>
      <w:pPr>
        <w:spacing w:line="600" w:lineRule="exact"/>
        <w:jc w:val="center"/>
        <w:rPr>
          <w:rFonts w:ascii="方正小标宋简体" w:hAnsi="宋体" w:eastAsia="方正小标宋简体"/>
          <w:color w:val="000000"/>
          <w:kern w:val="0"/>
          <w:sz w:val="40"/>
          <w:szCs w:val="44"/>
          <w:lang w:val="zh-CN"/>
        </w:rPr>
      </w:pPr>
    </w:p>
    <w:p>
      <w:pPr>
        <w:widowControl/>
        <w:adjustRightInd w:val="0"/>
        <w:snapToGrid w:val="0"/>
        <w:spacing w:line="560" w:lineRule="exact"/>
        <w:ind w:firstLine="640" w:firstLineChars="200"/>
        <w:contextualSpacing/>
        <w:rPr>
          <w:rFonts w:ascii="黑体" w:hAnsi="黑体" w:eastAsia="黑体" w:cs="宋体"/>
          <w:color w:val="000000"/>
          <w:kern w:val="0"/>
          <w:sz w:val="32"/>
          <w:szCs w:val="32"/>
          <w:shd w:val="clear" w:color="auto" w:fill="FFFFFF"/>
          <w:lang w:val="zh-CN"/>
        </w:rPr>
      </w:pPr>
      <w:r>
        <w:rPr>
          <w:rFonts w:hint="eastAsia" w:ascii="黑体" w:hAnsi="黑体" w:eastAsia="黑体" w:cs="宋体"/>
          <w:color w:val="000000"/>
          <w:kern w:val="0"/>
          <w:sz w:val="32"/>
          <w:szCs w:val="32"/>
          <w:shd w:val="clear" w:color="auto" w:fill="FFFFFF"/>
        </w:rPr>
        <w:t>一、</w:t>
      </w:r>
      <w:r>
        <w:rPr>
          <w:rFonts w:hint="eastAsia" w:ascii="黑体" w:hAnsi="黑体" w:eastAsia="黑体" w:cs="宋体"/>
          <w:color w:val="000000"/>
          <w:kern w:val="0"/>
          <w:sz w:val="32"/>
          <w:szCs w:val="32"/>
          <w:shd w:val="clear" w:color="auto" w:fill="FFFFFF"/>
          <w:lang w:val="zh-CN"/>
        </w:rPr>
        <w:t>单位概况</w:t>
      </w:r>
    </w:p>
    <w:p>
      <w:pPr>
        <w:spacing w:line="560" w:lineRule="exact"/>
        <w:ind w:firstLine="642" w:firstLineChars="200"/>
        <w:rPr>
          <w:rFonts w:ascii="仿宋_GB2312" w:hAnsi="宋体" w:eastAsia="仿宋_GB2312"/>
          <w:kern w:val="0"/>
          <w:sz w:val="32"/>
          <w:szCs w:val="32"/>
        </w:rPr>
      </w:pPr>
      <w:r>
        <w:rPr>
          <w:rFonts w:hint="eastAsia" w:ascii="楷体" w:hAnsi="楷体" w:eastAsia="楷体" w:cs="宋体"/>
          <w:b/>
          <w:color w:val="000000"/>
          <w:kern w:val="0"/>
          <w:sz w:val="32"/>
          <w:szCs w:val="32"/>
          <w:shd w:val="clear" w:color="auto" w:fill="FFFFFF"/>
          <w:lang w:val="zh-CN"/>
        </w:rPr>
        <w:t>（一）机构组成。</w:t>
      </w:r>
      <w:r>
        <w:rPr>
          <w:rFonts w:hint="eastAsia" w:ascii="仿宋_GB2312" w:hAnsi="宋体" w:eastAsia="仿宋_GB2312"/>
          <w:kern w:val="0"/>
          <w:sz w:val="32"/>
          <w:szCs w:val="32"/>
        </w:rPr>
        <w:t>属于公益一类财政全额拨款事业单位，为“二级甲等”疾病预防控制机构，是全市疾病预防控制指导中心。设有办公室、财务科、业务和质量控制科、传染病预防控制科（突发公共卫生事件应急办公室）、地慢病预防控制科（公共卫生均等化指导中心）、免疫规划科、卫生监测科、职业与辐射卫生科、检验科、公共卫生信息科、健康教育科和预防医学门诊部12个科室。</w:t>
      </w:r>
    </w:p>
    <w:p>
      <w:pPr>
        <w:spacing w:line="560" w:lineRule="exact"/>
        <w:ind w:firstLine="642" w:firstLineChars="200"/>
        <w:rPr>
          <w:rFonts w:ascii="仿宋_GB2312" w:hAnsi="宋体" w:eastAsia="仿宋_GB2312"/>
          <w:kern w:val="0"/>
          <w:sz w:val="32"/>
          <w:szCs w:val="32"/>
        </w:rPr>
      </w:pPr>
      <w:r>
        <w:rPr>
          <w:rFonts w:hint="eastAsia" w:ascii="楷体" w:hAnsi="楷体" w:eastAsia="楷体" w:cs="宋体"/>
          <w:b/>
          <w:color w:val="000000"/>
          <w:kern w:val="0"/>
          <w:sz w:val="32"/>
          <w:szCs w:val="32"/>
          <w:shd w:val="clear" w:color="auto" w:fill="FFFFFF"/>
          <w:lang w:val="zh-CN"/>
        </w:rPr>
        <w:t>（二）机构职能。</w:t>
      </w:r>
      <w:r>
        <w:rPr>
          <w:rFonts w:hint="eastAsia" w:ascii="仿宋_GB2312" w:hAnsi="宋体" w:eastAsia="仿宋_GB2312"/>
          <w:kern w:val="0"/>
          <w:sz w:val="32"/>
          <w:szCs w:val="32"/>
        </w:rPr>
        <w:t>中心主要职责是完成国家、省、市下达的重大疾病预防控制的指令性任务，实施疾病预防控制规划、方案，组织开展本地疾病暴发调查处理和报告；负责辖区内预防性生物制品管理，组织、实施预防接种工作；调查突发公共卫生事件的危险因素，实施控制措施；开展常见病原微生物检验检测和常见毒物、污染物的检验鉴定；开展疾病监测和食品卫生、职业卫生、放射卫生和环境卫生等领域健康危害因素监测，管理辖区疫情及相关公共卫生信息；组织开展健康教育与健康促进；负责对下级疾病预防控制机构的业务指导、人员培训和业务考核；指导辖区内医疗卫生机构传染病防治工作；完成上级交办的其他任务。</w:t>
      </w:r>
    </w:p>
    <w:p>
      <w:pPr>
        <w:spacing w:line="560" w:lineRule="exact"/>
        <w:ind w:firstLine="642" w:firstLineChars="200"/>
        <w:rPr>
          <w:rFonts w:ascii="仿宋_GB2312" w:hAnsi="宋体" w:eastAsia="仿宋_GB2312"/>
          <w:kern w:val="0"/>
          <w:sz w:val="32"/>
          <w:szCs w:val="32"/>
        </w:rPr>
      </w:pPr>
      <w:r>
        <w:rPr>
          <w:rFonts w:hint="eastAsia" w:ascii="楷体" w:hAnsi="楷体" w:eastAsia="楷体" w:cs="宋体"/>
          <w:b/>
          <w:color w:val="000000"/>
          <w:kern w:val="0"/>
          <w:sz w:val="32"/>
          <w:szCs w:val="32"/>
          <w:shd w:val="clear" w:color="auto" w:fill="FFFFFF"/>
          <w:lang w:val="zh-CN"/>
        </w:rPr>
        <w:t>（三）人员概况。</w:t>
      </w:r>
      <w:r>
        <w:rPr>
          <w:rFonts w:hint="eastAsia" w:ascii="仿宋_GB2312" w:hAnsi="宋体" w:eastAsia="仿宋_GB2312"/>
          <w:kern w:val="0"/>
          <w:sz w:val="32"/>
          <w:szCs w:val="32"/>
        </w:rPr>
        <w:t>定额定项事业编制52名，在编在职人员52人，临聘人员2人。</w:t>
      </w:r>
    </w:p>
    <w:p>
      <w:pPr>
        <w:widowControl/>
        <w:adjustRightInd w:val="0"/>
        <w:snapToGrid w:val="0"/>
        <w:spacing w:line="560" w:lineRule="exact"/>
        <w:ind w:firstLine="640" w:firstLineChars="200"/>
        <w:contextualSpacing/>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二、财政资金收支情况</w:t>
      </w:r>
    </w:p>
    <w:p>
      <w:pPr>
        <w:spacing w:line="560" w:lineRule="exact"/>
        <w:ind w:firstLine="642" w:firstLineChars="200"/>
        <w:rPr>
          <w:rFonts w:ascii="仿宋_GB2312" w:hAnsi="宋体" w:eastAsia="仿宋_GB2312"/>
          <w:kern w:val="0"/>
          <w:sz w:val="32"/>
          <w:szCs w:val="32"/>
        </w:rPr>
      </w:pPr>
      <w:r>
        <w:rPr>
          <w:rFonts w:hint="eastAsia" w:ascii="楷体" w:hAnsi="楷体" w:eastAsia="楷体" w:cs="宋体"/>
          <w:b/>
          <w:color w:val="000000"/>
          <w:kern w:val="0"/>
          <w:sz w:val="32"/>
          <w:szCs w:val="32"/>
          <w:shd w:val="clear" w:color="auto" w:fill="FFFFFF"/>
          <w:lang w:val="zh-CN"/>
        </w:rPr>
        <w:t>（一）财政资金收入情况。</w:t>
      </w:r>
      <w:r>
        <w:rPr>
          <w:rFonts w:hint="eastAsia" w:ascii="仿宋_GB2312" w:hAnsi="宋体" w:eastAsia="仿宋_GB2312"/>
          <w:kern w:val="0"/>
          <w:sz w:val="32"/>
          <w:szCs w:val="32"/>
        </w:rPr>
        <w:t>2020年度收入总计5035.2万元。与2019年相比，增加3731.08万元，增长286%。主要变动原因是新冠疫情专项资金项目增加和2020年度抗疫特别国债项目2826万元。</w:t>
      </w:r>
    </w:p>
    <w:p>
      <w:pPr>
        <w:spacing w:line="560" w:lineRule="exact"/>
        <w:ind w:firstLine="642" w:firstLineChars="200"/>
        <w:rPr>
          <w:rFonts w:ascii="仿宋_GB2312" w:hAnsi="宋体" w:eastAsia="仿宋_GB2312"/>
          <w:kern w:val="0"/>
          <w:sz w:val="32"/>
          <w:szCs w:val="32"/>
        </w:rPr>
      </w:pPr>
      <w:r>
        <w:rPr>
          <w:rFonts w:hint="eastAsia" w:ascii="楷体" w:hAnsi="楷体" w:eastAsia="楷体" w:cs="宋体"/>
          <w:b/>
          <w:color w:val="000000"/>
          <w:kern w:val="0"/>
          <w:sz w:val="32"/>
          <w:szCs w:val="32"/>
          <w:shd w:val="clear" w:color="auto" w:fill="FFFFFF"/>
          <w:lang w:val="zh-CN"/>
        </w:rPr>
        <w:t>（二）财政资金支出情况。</w:t>
      </w:r>
      <w:r>
        <w:rPr>
          <w:rFonts w:hint="eastAsia" w:ascii="仿宋_GB2312" w:hAnsi="宋体" w:eastAsia="仿宋_GB2312"/>
          <w:kern w:val="0"/>
          <w:sz w:val="32"/>
          <w:szCs w:val="32"/>
        </w:rPr>
        <w:t>2020年度支出总计4359.13万元。与2019年相比，增加2895.16万元，增长197.76%。主要变动原因是新冠疫情专项资金项目增加和2020年度抗疫特别国债项目2826万元。</w:t>
      </w:r>
    </w:p>
    <w:p>
      <w:pPr>
        <w:widowControl/>
        <w:adjustRightInd w:val="0"/>
        <w:snapToGrid w:val="0"/>
        <w:spacing w:line="560" w:lineRule="exact"/>
        <w:ind w:firstLine="640" w:firstLineChars="200"/>
        <w:contextualSpacing/>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三、整体预算绩效管理情况</w:t>
      </w:r>
    </w:p>
    <w:p>
      <w:pPr>
        <w:widowControl/>
        <w:adjustRightInd w:val="0"/>
        <w:snapToGrid w:val="0"/>
        <w:spacing w:line="560" w:lineRule="exact"/>
        <w:ind w:firstLine="642" w:firstLineChars="200"/>
        <w:contextualSpacing/>
        <w:rPr>
          <w:rFonts w:ascii="仿宋_GB2312" w:hAnsi="宋体" w:eastAsia="仿宋_GB2312"/>
          <w:kern w:val="0"/>
          <w:sz w:val="32"/>
          <w:szCs w:val="32"/>
        </w:rPr>
      </w:pPr>
      <w:r>
        <w:rPr>
          <w:rFonts w:hint="eastAsia" w:ascii="楷体" w:hAnsi="楷体" w:eastAsia="楷体" w:cs="宋体"/>
          <w:b/>
          <w:color w:val="000000"/>
          <w:kern w:val="0"/>
          <w:sz w:val="32"/>
          <w:szCs w:val="32"/>
          <w:shd w:val="clear" w:color="auto" w:fill="FFFFFF"/>
          <w:lang w:val="zh-CN"/>
        </w:rPr>
        <w:t>（一）制度建设情况。</w:t>
      </w:r>
      <w:r>
        <w:rPr>
          <w:rFonts w:hint="eastAsia" w:ascii="仿宋_GB2312" w:hAnsi="宋体" w:eastAsia="仿宋_GB2312"/>
          <w:kern w:val="0"/>
          <w:sz w:val="32"/>
          <w:szCs w:val="32"/>
        </w:rPr>
        <w:t>单位高度重视项目财务管理制度建设、会计核算及账务处理工作，严格执行《预算法》、《会计法》、《事业单位会计准则》、《内控管理制度》和财务规章制度，财务处理及时、会计核算规范，认真执行“三重一大”制度。建立健全了财务管理制度，制定了《专项资金管理办法》、《经费报销审批制度》、《物资设备管理制度》等内部控制制度，财务科内工作分工合理，不相容职务分离，发挥了相互监督、协作的作用。</w:t>
      </w:r>
    </w:p>
    <w:p>
      <w:pPr>
        <w:widowControl/>
        <w:adjustRightInd w:val="0"/>
        <w:snapToGrid w:val="0"/>
        <w:spacing w:line="560" w:lineRule="exact"/>
        <w:ind w:firstLine="642" w:firstLineChars="200"/>
        <w:contextualSpacing/>
        <w:rPr>
          <w:rFonts w:ascii="仿宋_GB2312" w:hAnsi="宋体" w:eastAsia="仿宋_GB2312"/>
          <w:kern w:val="0"/>
          <w:sz w:val="32"/>
          <w:szCs w:val="32"/>
        </w:rPr>
      </w:pPr>
      <w:r>
        <w:rPr>
          <w:rFonts w:hint="eastAsia" w:ascii="楷体" w:hAnsi="楷体" w:eastAsia="楷体" w:cs="宋体"/>
          <w:b/>
          <w:color w:val="000000"/>
          <w:kern w:val="0"/>
          <w:sz w:val="32"/>
          <w:szCs w:val="32"/>
          <w:shd w:val="clear" w:color="auto" w:fill="FFFFFF"/>
          <w:lang w:val="zh-CN"/>
        </w:rPr>
        <w:t>（二）绩效目标管理情况。</w:t>
      </w:r>
      <w:r>
        <w:rPr>
          <w:rFonts w:hint="eastAsia" w:ascii="仿宋_GB2312" w:hAnsi="宋体" w:eastAsia="仿宋_GB2312"/>
          <w:kern w:val="0"/>
          <w:sz w:val="32"/>
          <w:szCs w:val="32"/>
        </w:rPr>
        <w:t>根据上年预算执行情况，结合本年的需求，在上年预算的基础上，本着量入为出，保障重点、统筹兼顾、厉行节约，降低运行成本，注重资金使用效益的基本原则，科学合理地编制本年预算，项目申报内容与具体实施内容相符，申报目标合理可行，确保绩效目标的完整性可行性，绩效目标过程监控的规范性和长效性，便于客观公正地评价绩效情况。为进一步加强财务管理，严格按照国家统一的会计制度及进行账务处理、编制财务报告，保障中心工作顺利完成。</w:t>
      </w:r>
    </w:p>
    <w:p>
      <w:pPr>
        <w:widowControl/>
        <w:adjustRightInd w:val="0"/>
        <w:snapToGrid w:val="0"/>
        <w:spacing w:line="560" w:lineRule="exact"/>
        <w:ind w:firstLine="640" w:firstLineChars="200"/>
        <w:contextualSpacing/>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四、评价结论及建议</w:t>
      </w:r>
    </w:p>
    <w:p>
      <w:pPr>
        <w:spacing w:line="560" w:lineRule="exact"/>
        <w:ind w:firstLine="642" w:firstLineChars="200"/>
        <w:rPr>
          <w:rFonts w:ascii="仿宋_GB2312" w:hAnsi="宋体" w:eastAsia="仿宋_GB2312"/>
          <w:kern w:val="0"/>
          <w:sz w:val="32"/>
          <w:szCs w:val="32"/>
        </w:rPr>
      </w:pPr>
      <w:r>
        <w:rPr>
          <w:rFonts w:hint="eastAsia" w:ascii="楷体" w:hAnsi="楷体" w:eastAsia="楷体" w:cs="宋体"/>
          <w:b/>
          <w:color w:val="000000"/>
          <w:kern w:val="0"/>
          <w:sz w:val="32"/>
          <w:szCs w:val="32"/>
          <w:shd w:val="clear" w:color="auto" w:fill="FFFFFF"/>
          <w:lang w:val="zh-CN"/>
        </w:rPr>
        <w:t>（一）评价结论。</w:t>
      </w:r>
      <w:r>
        <w:rPr>
          <w:rFonts w:hint="eastAsia" w:ascii="仿宋_GB2312" w:hAnsi="宋体" w:eastAsia="仿宋_GB2312"/>
          <w:kern w:val="0"/>
          <w:sz w:val="32"/>
          <w:szCs w:val="32"/>
        </w:rPr>
        <w:t>整体支出与具体实施内容相符，申报目标合理可行。项目执行过程中严格执行财务管理制度，经费纳入中心统一核算，会计核算做到真实、完整、及时，支出审批程序严谨。</w:t>
      </w:r>
    </w:p>
    <w:p>
      <w:pPr>
        <w:widowControl/>
        <w:adjustRightInd w:val="0"/>
        <w:snapToGrid w:val="0"/>
        <w:spacing w:line="560" w:lineRule="exact"/>
        <w:ind w:firstLine="642" w:firstLineChars="200"/>
        <w:contextualSpacing/>
        <w:rPr>
          <w:rFonts w:ascii="仿宋_GB2312" w:hAnsi="宋体" w:eastAsia="仿宋_GB2312"/>
          <w:kern w:val="0"/>
          <w:sz w:val="32"/>
          <w:szCs w:val="32"/>
        </w:rPr>
      </w:pPr>
      <w:r>
        <w:rPr>
          <w:rFonts w:hint="eastAsia" w:ascii="楷体" w:hAnsi="楷体" w:eastAsia="楷体" w:cs="宋体"/>
          <w:b/>
          <w:color w:val="000000"/>
          <w:kern w:val="0"/>
          <w:sz w:val="32"/>
          <w:szCs w:val="32"/>
          <w:shd w:val="clear" w:color="auto" w:fill="FFFFFF"/>
          <w:lang w:val="zh-CN"/>
        </w:rPr>
        <w:t>（二）存在问题</w:t>
      </w:r>
      <w:r>
        <w:rPr>
          <w:rFonts w:hint="eastAsia" w:ascii="楷体" w:hAnsi="楷体" w:eastAsia="楷体" w:cs="宋体"/>
          <w:b/>
          <w:color w:val="000000"/>
          <w:kern w:val="0"/>
          <w:sz w:val="32"/>
          <w:szCs w:val="32"/>
          <w:shd w:val="clear" w:color="auto" w:fill="FFFFFF"/>
        </w:rPr>
        <w:t>及</w:t>
      </w:r>
      <w:r>
        <w:rPr>
          <w:rFonts w:hint="eastAsia" w:ascii="楷体" w:hAnsi="楷体" w:eastAsia="楷体" w:cs="宋体"/>
          <w:b/>
          <w:color w:val="000000"/>
          <w:kern w:val="0"/>
          <w:sz w:val="32"/>
          <w:szCs w:val="32"/>
          <w:shd w:val="clear" w:color="auto" w:fill="FFFFFF"/>
          <w:lang w:val="zh-CN"/>
        </w:rPr>
        <w:t>改进建议。</w:t>
      </w:r>
      <w:r>
        <w:rPr>
          <w:rFonts w:hint="eastAsia" w:ascii="仿宋_GB2312" w:hAnsi="宋体" w:eastAsia="仿宋_GB2312"/>
          <w:kern w:val="0"/>
          <w:sz w:val="32"/>
          <w:szCs w:val="32"/>
        </w:rPr>
        <w:t>绩效管理工作专业性比较强，绩效管理评价人员对这项工作还不够熟悉，继续加强对财务人员评价工作的培训，有效地做好评价工作。</w:t>
      </w:r>
    </w:p>
    <w:p>
      <w:pPr>
        <w:widowControl/>
        <w:adjustRightInd w:val="0"/>
        <w:snapToGrid w:val="0"/>
        <w:spacing w:line="560" w:lineRule="exact"/>
        <w:ind w:firstLine="640" w:firstLineChars="200"/>
        <w:contextualSpacing/>
        <w:rPr>
          <w:rFonts w:ascii="仿宋_GB2312" w:hAnsi="宋体" w:eastAsia="仿宋_GB2312"/>
          <w:kern w:val="0"/>
          <w:sz w:val="32"/>
          <w:szCs w:val="32"/>
        </w:rPr>
      </w:pPr>
      <w:r>
        <w:rPr>
          <w:rFonts w:hint="eastAsia" w:ascii="仿宋_GB2312" w:hAnsi="宋体" w:eastAsia="仿宋_GB2312"/>
          <w:kern w:val="0"/>
          <w:sz w:val="32"/>
          <w:szCs w:val="32"/>
        </w:rPr>
        <w:t>单位将进一步按照国家财经法规的要求，管理使用财政项目支出工作经费，加强对专项业务工作的指导，提高项目资金使用绩效。</w:t>
      </w:r>
    </w:p>
    <w:p>
      <w:pPr>
        <w:widowControl/>
        <w:adjustRightInd w:val="0"/>
        <w:snapToGrid w:val="0"/>
        <w:spacing w:line="580" w:lineRule="exact"/>
        <w:ind w:firstLine="640" w:firstLineChars="200"/>
        <w:contextualSpacing/>
        <w:jc w:val="left"/>
        <w:rPr>
          <w:rFonts w:ascii="宋体" w:hAnsi="宋体"/>
          <w:kern w:val="0"/>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widowControl/>
        <w:adjustRightInd w:val="0"/>
        <w:snapToGrid w:val="0"/>
        <w:spacing w:line="580" w:lineRule="exact"/>
        <w:contextualSpacing/>
        <w:jc w:val="left"/>
        <w:rPr>
          <w:rFonts w:ascii="仿宋_GB2312" w:hAnsi="宋体" w:eastAsia="仿宋_GB2312" w:cs="宋体"/>
          <w:color w:val="000000"/>
          <w:kern w:val="0"/>
          <w:sz w:val="32"/>
          <w:szCs w:val="32"/>
          <w:shd w:val="clear" w:color="auto" w:fill="FFFFFF"/>
        </w:rPr>
      </w:pPr>
    </w:p>
    <w:bookmarkEnd w:id="57"/>
    <w:bookmarkEnd w:id="58"/>
    <w:p>
      <w:pPr>
        <w:spacing w:line="600" w:lineRule="exact"/>
        <w:jc w:val="center"/>
        <w:outlineLvl w:val="0"/>
        <w:rPr>
          <w:rStyle w:val="28"/>
          <w:rFonts w:ascii="黑体" w:hAnsi="黑体" w:eastAsia="黑体"/>
          <w:b w:val="0"/>
        </w:rPr>
      </w:pPr>
      <w:r>
        <w:rPr>
          <w:rFonts w:hint="eastAsia" w:ascii="黑体" w:hAnsi="黑体" w:eastAsia="黑体"/>
          <w:color w:val="000000"/>
          <w:sz w:val="44"/>
          <w:szCs w:val="44"/>
        </w:rPr>
        <w:t>第</w:t>
      </w:r>
      <w:r>
        <w:rPr>
          <w:rStyle w:val="28"/>
          <w:rFonts w:hint="eastAsia" w:ascii="黑体" w:hAnsi="黑体" w:eastAsia="黑体"/>
          <w:b w:val="0"/>
        </w:rPr>
        <w:t>五部分</w:t>
      </w:r>
      <w:r>
        <w:rPr>
          <w:rStyle w:val="28"/>
          <w:rFonts w:ascii="黑体" w:hAnsi="黑体" w:eastAsia="黑体"/>
          <w:b w:val="0"/>
        </w:rPr>
        <w:t xml:space="preserve"> </w:t>
      </w:r>
      <w:r>
        <w:rPr>
          <w:rStyle w:val="28"/>
          <w:rFonts w:hint="eastAsia" w:ascii="黑体" w:hAnsi="黑体" w:eastAsia="黑体"/>
          <w:b w:val="0"/>
        </w:rPr>
        <w:t>附表</w:t>
      </w:r>
    </w:p>
    <w:p>
      <w:pPr>
        <w:spacing w:line="600" w:lineRule="exact"/>
        <w:jc w:val="center"/>
        <w:outlineLvl w:val="0"/>
        <w:rPr>
          <w:rStyle w:val="28"/>
          <w:rFonts w:ascii="黑体" w:hAnsi="黑体" w:eastAsia="黑体"/>
          <w:b w:val="0"/>
        </w:rPr>
      </w:pPr>
    </w:p>
    <w:p>
      <w:pPr>
        <w:spacing w:line="600" w:lineRule="exact"/>
        <w:jc w:val="left"/>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一、收入支出决算总表</w:t>
      </w:r>
    </w:p>
    <w:p>
      <w:pPr>
        <w:spacing w:line="600" w:lineRule="exact"/>
        <w:jc w:val="left"/>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二、收入决算表</w:t>
      </w:r>
    </w:p>
    <w:p>
      <w:pPr>
        <w:spacing w:line="600" w:lineRule="exact"/>
        <w:jc w:val="left"/>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三、支出决算表</w:t>
      </w:r>
    </w:p>
    <w:p>
      <w:pPr>
        <w:spacing w:line="600" w:lineRule="exact"/>
        <w:jc w:val="left"/>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四、财政拨款收入支出决算总表</w:t>
      </w:r>
    </w:p>
    <w:p>
      <w:pPr>
        <w:spacing w:line="600" w:lineRule="exact"/>
        <w:jc w:val="left"/>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五、财政拨款支出决算明细表</w:t>
      </w:r>
    </w:p>
    <w:p>
      <w:pPr>
        <w:spacing w:line="600" w:lineRule="exact"/>
        <w:jc w:val="left"/>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六、一般公共预算财政拨款支出决算表</w:t>
      </w:r>
    </w:p>
    <w:p>
      <w:pPr>
        <w:spacing w:line="600" w:lineRule="exact"/>
        <w:jc w:val="left"/>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七、一般公共预算财政拨款支出决算明细表</w:t>
      </w:r>
    </w:p>
    <w:p>
      <w:pPr>
        <w:spacing w:line="600" w:lineRule="exact"/>
        <w:jc w:val="left"/>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八、一般公共预算财政拨款基本支出决算表</w:t>
      </w:r>
    </w:p>
    <w:p>
      <w:pPr>
        <w:spacing w:line="600" w:lineRule="exact"/>
        <w:jc w:val="left"/>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九、一般公共预算财政拨款项目支出决算表</w:t>
      </w:r>
    </w:p>
    <w:p>
      <w:pPr>
        <w:spacing w:line="600" w:lineRule="exact"/>
        <w:jc w:val="left"/>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十、一般公共预算财政拨款“三公”经费支出决算表</w:t>
      </w:r>
    </w:p>
    <w:p>
      <w:pPr>
        <w:spacing w:line="600" w:lineRule="exact"/>
        <w:jc w:val="left"/>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十一、政府性基金预算财政拨款收入支出决算表</w:t>
      </w:r>
    </w:p>
    <w:p>
      <w:pPr>
        <w:spacing w:line="600" w:lineRule="exact"/>
        <w:jc w:val="left"/>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十二、政府性基金预算财政拨款“三公”经费支出决算表</w:t>
      </w:r>
    </w:p>
    <w:p>
      <w:pPr>
        <w:spacing w:line="600" w:lineRule="exact"/>
        <w:jc w:val="left"/>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十三、国有资本经营预算财政拨款支出决算表</w:t>
      </w:r>
    </w:p>
    <w:p>
      <w:pPr>
        <w:spacing w:line="600" w:lineRule="exact"/>
        <w:jc w:val="left"/>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十四、国有资本经营预算财政拨款支出决算表</w:t>
      </w:r>
    </w:p>
    <w:p>
      <w:pPr>
        <w:spacing w:line="600" w:lineRule="exact"/>
        <w:jc w:val="left"/>
        <w:outlineLvl w:val="0"/>
        <w:rPr>
          <w:rFonts w:ascii="仿宋_GB2312" w:hAnsi="仿宋" w:eastAsia="仿宋_GB2312"/>
          <w:color w:val="000000" w:themeColor="text1"/>
          <w:sz w:val="32"/>
          <w:szCs w:val="32"/>
          <w14:textFill>
            <w14:solidFill>
              <w14:schemeClr w14:val="tx1"/>
            </w14:solidFill>
          </w14:textFill>
        </w:rPr>
      </w:pPr>
    </w:p>
    <w:sectPr>
      <w:headerReference r:id="rId3" w:type="default"/>
      <w:footerReference r:id="rId5" w:type="default"/>
      <w:headerReference r:id="rId4" w:type="even"/>
      <w:pgSz w:w="11906" w:h="16838"/>
      <w:pgMar w:top="2098" w:right="1474" w:bottom="1985" w:left="1588" w:header="851" w:footer="851"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35</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0730B"/>
    <w:rsid w:val="00016D11"/>
    <w:rsid w:val="000222C6"/>
    <w:rsid w:val="0002549F"/>
    <w:rsid w:val="000264C4"/>
    <w:rsid w:val="00026B98"/>
    <w:rsid w:val="00033C63"/>
    <w:rsid w:val="00051D9E"/>
    <w:rsid w:val="0006487A"/>
    <w:rsid w:val="00065F8F"/>
    <w:rsid w:val="00073959"/>
    <w:rsid w:val="000768F2"/>
    <w:rsid w:val="00083B94"/>
    <w:rsid w:val="00084D7D"/>
    <w:rsid w:val="0009184B"/>
    <w:rsid w:val="00091F04"/>
    <w:rsid w:val="0009593C"/>
    <w:rsid w:val="000B047F"/>
    <w:rsid w:val="000B5923"/>
    <w:rsid w:val="000B5A48"/>
    <w:rsid w:val="000B6FF3"/>
    <w:rsid w:val="000C3467"/>
    <w:rsid w:val="000C3CA6"/>
    <w:rsid w:val="000D0692"/>
    <w:rsid w:val="000D1267"/>
    <w:rsid w:val="000D1D50"/>
    <w:rsid w:val="000D5782"/>
    <w:rsid w:val="000E6613"/>
    <w:rsid w:val="000E7119"/>
    <w:rsid w:val="000F4FA0"/>
    <w:rsid w:val="00114E9B"/>
    <w:rsid w:val="0012209D"/>
    <w:rsid w:val="00126E5B"/>
    <w:rsid w:val="001417F9"/>
    <w:rsid w:val="00145FDC"/>
    <w:rsid w:val="0014729F"/>
    <w:rsid w:val="00157BAB"/>
    <w:rsid w:val="001654D1"/>
    <w:rsid w:val="001657DB"/>
    <w:rsid w:val="0016593B"/>
    <w:rsid w:val="0018106D"/>
    <w:rsid w:val="001863A6"/>
    <w:rsid w:val="001877A7"/>
    <w:rsid w:val="00191536"/>
    <w:rsid w:val="00196687"/>
    <w:rsid w:val="00197342"/>
    <w:rsid w:val="001C0962"/>
    <w:rsid w:val="001D7531"/>
    <w:rsid w:val="001E737D"/>
    <w:rsid w:val="001F0592"/>
    <w:rsid w:val="001F7506"/>
    <w:rsid w:val="002006CD"/>
    <w:rsid w:val="00202B36"/>
    <w:rsid w:val="00204B7A"/>
    <w:rsid w:val="0021101A"/>
    <w:rsid w:val="002159CC"/>
    <w:rsid w:val="002169BD"/>
    <w:rsid w:val="00220536"/>
    <w:rsid w:val="00235615"/>
    <w:rsid w:val="00235629"/>
    <w:rsid w:val="00260C38"/>
    <w:rsid w:val="002616C0"/>
    <w:rsid w:val="002662AA"/>
    <w:rsid w:val="00266D7A"/>
    <w:rsid w:val="00280496"/>
    <w:rsid w:val="00292850"/>
    <w:rsid w:val="00295495"/>
    <w:rsid w:val="002A2F74"/>
    <w:rsid w:val="002B2613"/>
    <w:rsid w:val="002C6156"/>
    <w:rsid w:val="002E6AE0"/>
    <w:rsid w:val="002F1818"/>
    <w:rsid w:val="002F567B"/>
    <w:rsid w:val="00300638"/>
    <w:rsid w:val="003216A9"/>
    <w:rsid w:val="0032256D"/>
    <w:rsid w:val="00331C58"/>
    <w:rsid w:val="0037013F"/>
    <w:rsid w:val="00380C92"/>
    <w:rsid w:val="00386FB3"/>
    <w:rsid w:val="003A484F"/>
    <w:rsid w:val="003A5E49"/>
    <w:rsid w:val="003B0BE0"/>
    <w:rsid w:val="003B0C1B"/>
    <w:rsid w:val="003B3308"/>
    <w:rsid w:val="003B5363"/>
    <w:rsid w:val="003B562F"/>
    <w:rsid w:val="003B688C"/>
    <w:rsid w:val="003C0291"/>
    <w:rsid w:val="003C39AE"/>
    <w:rsid w:val="003C7B60"/>
    <w:rsid w:val="003C7EA9"/>
    <w:rsid w:val="003D103A"/>
    <w:rsid w:val="003D1FB2"/>
    <w:rsid w:val="003D66DA"/>
    <w:rsid w:val="003E1310"/>
    <w:rsid w:val="003E6F55"/>
    <w:rsid w:val="00406254"/>
    <w:rsid w:val="004223DE"/>
    <w:rsid w:val="00434489"/>
    <w:rsid w:val="00437085"/>
    <w:rsid w:val="00443880"/>
    <w:rsid w:val="004464F4"/>
    <w:rsid w:val="00452590"/>
    <w:rsid w:val="00461879"/>
    <w:rsid w:val="00471401"/>
    <w:rsid w:val="004721DF"/>
    <w:rsid w:val="00473F31"/>
    <w:rsid w:val="0048263A"/>
    <w:rsid w:val="00487E5D"/>
    <w:rsid w:val="004A711F"/>
    <w:rsid w:val="004B199D"/>
    <w:rsid w:val="004B4690"/>
    <w:rsid w:val="004E0A2D"/>
    <w:rsid w:val="004E206B"/>
    <w:rsid w:val="004E6DF7"/>
    <w:rsid w:val="004F0FBD"/>
    <w:rsid w:val="004F3CA2"/>
    <w:rsid w:val="004F62B6"/>
    <w:rsid w:val="00505A47"/>
    <w:rsid w:val="00505F37"/>
    <w:rsid w:val="00512FDA"/>
    <w:rsid w:val="00517693"/>
    <w:rsid w:val="00520DA0"/>
    <w:rsid w:val="005229EA"/>
    <w:rsid w:val="00541634"/>
    <w:rsid w:val="005664BB"/>
    <w:rsid w:val="00567E79"/>
    <w:rsid w:val="0057481D"/>
    <w:rsid w:val="0058486E"/>
    <w:rsid w:val="005A3EC6"/>
    <w:rsid w:val="005A4CB3"/>
    <w:rsid w:val="005B0894"/>
    <w:rsid w:val="005C1FA4"/>
    <w:rsid w:val="005D1C8B"/>
    <w:rsid w:val="005D5CED"/>
    <w:rsid w:val="005F1A4C"/>
    <w:rsid w:val="005F3D9F"/>
    <w:rsid w:val="005F7819"/>
    <w:rsid w:val="00603EDB"/>
    <w:rsid w:val="00605688"/>
    <w:rsid w:val="006070AF"/>
    <w:rsid w:val="00607E6C"/>
    <w:rsid w:val="006101B1"/>
    <w:rsid w:val="006148D8"/>
    <w:rsid w:val="00614E44"/>
    <w:rsid w:val="006225BC"/>
    <w:rsid w:val="00622830"/>
    <w:rsid w:val="00630AEF"/>
    <w:rsid w:val="006325F8"/>
    <w:rsid w:val="00634C9A"/>
    <w:rsid w:val="006440E4"/>
    <w:rsid w:val="0066343B"/>
    <w:rsid w:val="00664777"/>
    <w:rsid w:val="0066507E"/>
    <w:rsid w:val="006748A4"/>
    <w:rsid w:val="00683E73"/>
    <w:rsid w:val="006A2B40"/>
    <w:rsid w:val="006A3141"/>
    <w:rsid w:val="006A50D7"/>
    <w:rsid w:val="006A5E34"/>
    <w:rsid w:val="006B2422"/>
    <w:rsid w:val="006B2B9A"/>
    <w:rsid w:val="006B766F"/>
    <w:rsid w:val="006C1937"/>
    <w:rsid w:val="006D094D"/>
    <w:rsid w:val="006F020C"/>
    <w:rsid w:val="006F749A"/>
    <w:rsid w:val="007127B7"/>
    <w:rsid w:val="007416B6"/>
    <w:rsid w:val="00746F48"/>
    <w:rsid w:val="0075404D"/>
    <w:rsid w:val="0076182A"/>
    <w:rsid w:val="00767B7E"/>
    <w:rsid w:val="007770C3"/>
    <w:rsid w:val="007839BD"/>
    <w:rsid w:val="00784D24"/>
    <w:rsid w:val="00785FBA"/>
    <w:rsid w:val="00786E4A"/>
    <w:rsid w:val="007875EB"/>
    <w:rsid w:val="0079426B"/>
    <w:rsid w:val="007A0AC7"/>
    <w:rsid w:val="007B0314"/>
    <w:rsid w:val="007B5AD4"/>
    <w:rsid w:val="007D312A"/>
    <w:rsid w:val="007D3F19"/>
    <w:rsid w:val="007D47BF"/>
    <w:rsid w:val="007E23B0"/>
    <w:rsid w:val="007F1991"/>
    <w:rsid w:val="007F2C2F"/>
    <w:rsid w:val="007F55FC"/>
    <w:rsid w:val="007F5665"/>
    <w:rsid w:val="007F5AFE"/>
    <w:rsid w:val="00800112"/>
    <w:rsid w:val="008115C6"/>
    <w:rsid w:val="00814AC1"/>
    <w:rsid w:val="00821D3D"/>
    <w:rsid w:val="008253BB"/>
    <w:rsid w:val="0083706E"/>
    <w:rsid w:val="008423A5"/>
    <w:rsid w:val="00850625"/>
    <w:rsid w:val="00853718"/>
    <w:rsid w:val="00855221"/>
    <w:rsid w:val="00860645"/>
    <w:rsid w:val="008640D7"/>
    <w:rsid w:val="00871F71"/>
    <w:rsid w:val="00883A86"/>
    <w:rsid w:val="00885AF4"/>
    <w:rsid w:val="008939CD"/>
    <w:rsid w:val="008B768C"/>
    <w:rsid w:val="008C4DB1"/>
    <w:rsid w:val="008C4EAF"/>
    <w:rsid w:val="008C5176"/>
    <w:rsid w:val="008C7FD0"/>
    <w:rsid w:val="008E1DE7"/>
    <w:rsid w:val="008E707C"/>
    <w:rsid w:val="008F01C1"/>
    <w:rsid w:val="00900B08"/>
    <w:rsid w:val="00902155"/>
    <w:rsid w:val="00902FA3"/>
    <w:rsid w:val="00923564"/>
    <w:rsid w:val="0092392E"/>
    <w:rsid w:val="00926CF8"/>
    <w:rsid w:val="009315F9"/>
    <w:rsid w:val="0093492F"/>
    <w:rsid w:val="00946945"/>
    <w:rsid w:val="00951248"/>
    <w:rsid w:val="0095152F"/>
    <w:rsid w:val="00954C49"/>
    <w:rsid w:val="00966DE5"/>
    <w:rsid w:val="00967543"/>
    <w:rsid w:val="0097099F"/>
    <w:rsid w:val="00971997"/>
    <w:rsid w:val="00971FFC"/>
    <w:rsid w:val="009751E4"/>
    <w:rsid w:val="00980957"/>
    <w:rsid w:val="0098660A"/>
    <w:rsid w:val="009931C3"/>
    <w:rsid w:val="009B2C43"/>
    <w:rsid w:val="009B4EAE"/>
    <w:rsid w:val="009B7573"/>
    <w:rsid w:val="009C22F4"/>
    <w:rsid w:val="009C2E98"/>
    <w:rsid w:val="009D3447"/>
    <w:rsid w:val="009D4711"/>
    <w:rsid w:val="009E3CCB"/>
    <w:rsid w:val="009F1185"/>
    <w:rsid w:val="009F18CD"/>
    <w:rsid w:val="009F2A13"/>
    <w:rsid w:val="009F2C17"/>
    <w:rsid w:val="00A04EB0"/>
    <w:rsid w:val="00A13CC1"/>
    <w:rsid w:val="00A16847"/>
    <w:rsid w:val="00A237D8"/>
    <w:rsid w:val="00A268C4"/>
    <w:rsid w:val="00A307CD"/>
    <w:rsid w:val="00A40A00"/>
    <w:rsid w:val="00A4142F"/>
    <w:rsid w:val="00A56DF2"/>
    <w:rsid w:val="00A61792"/>
    <w:rsid w:val="00A67AB5"/>
    <w:rsid w:val="00A91760"/>
    <w:rsid w:val="00A93B00"/>
    <w:rsid w:val="00A93C21"/>
    <w:rsid w:val="00AA3591"/>
    <w:rsid w:val="00AB42DD"/>
    <w:rsid w:val="00AC3C6A"/>
    <w:rsid w:val="00AD5620"/>
    <w:rsid w:val="00AD786C"/>
    <w:rsid w:val="00AD7C1B"/>
    <w:rsid w:val="00AE16BA"/>
    <w:rsid w:val="00AE1C97"/>
    <w:rsid w:val="00AE1EBE"/>
    <w:rsid w:val="00AE61BB"/>
    <w:rsid w:val="00B03C9D"/>
    <w:rsid w:val="00B060AE"/>
    <w:rsid w:val="00B10517"/>
    <w:rsid w:val="00B11CD0"/>
    <w:rsid w:val="00B14E76"/>
    <w:rsid w:val="00B161B8"/>
    <w:rsid w:val="00B2048C"/>
    <w:rsid w:val="00B227C3"/>
    <w:rsid w:val="00B310B9"/>
    <w:rsid w:val="00B334F3"/>
    <w:rsid w:val="00B35F3F"/>
    <w:rsid w:val="00B36CBB"/>
    <w:rsid w:val="00B425E0"/>
    <w:rsid w:val="00B440AA"/>
    <w:rsid w:val="00B44B70"/>
    <w:rsid w:val="00B46F2E"/>
    <w:rsid w:val="00B50B31"/>
    <w:rsid w:val="00B53C56"/>
    <w:rsid w:val="00B55A65"/>
    <w:rsid w:val="00B57169"/>
    <w:rsid w:val="00B77EA6"/>
    <w:rsid w:val="00B81598"/>
    <w:rsid w:val="00B841F1"/>
    <w:rsid w:val="00B944D6"/>
    <w:rsid w:val="00B979FD"/>
    <w:rsid w:val="00BA710A"/>
    <w:rsid w:val="00BA79EF"/>
    <w:rsid w:val="00BB2358"/>
    <w:rsid w:val="00BB4DF0"/>
    <w:rsid w:val="00BC289F"/>
    <w:rsid w:val="00BC4E50"/>
    <w:rsid w:val="00BC5361"/>
    <w:rsid w:val="00BC5460"/>
    <w:rsid w:val="00BC6B50"/>
    <w:rsid w:val="00BD0E25"/>
    <w:rsid w:val="00BE18C3"/>
    <w:rsid w:val="00BE4B19"/>
    <w:rsid w:val="00BF0EBA"/>
    <w:rsid w:val="00BF4DDF"/>
    <w:rsid w:val="00BF5BD6"/>
    <w:rsid w:val="00C03E31"/>
    <w:rsid w:val="00C20481"/>
    <w:rsid w:val="00C21AD8"/>
    <w:rsid w:val="00C24966"/>
    <w:rsid w:val="00C24FF8"/>
    <w:rsid w:val="00C33C01"/>
    <w:rsid w:val="00C33E72"/>
    <w:rsid w:val="00C354B2"/>
    <w:rsid w:val="00C35554"/>
    <w:rsid w:val="00C42709"/>
    <w:rsid w:val="00C45B25"/>
    <w:rsid w:val="00C50C5E"/>
    <w:rsid w:val="00C533CC"/>
    <w:rsid w:val="00C5751C"/>
    <w:rsid w:val="00C61BFC"/>
    <w:rsid w:val="00C62B85"/>
    <w:rsid w:val="00C65438"/>
    <w:rsid w:val="00C70A3C"/>
    <w:rsid w:val="00C74629"/>
    <w:rsid w:val="00C75E28"/>
    <w:rsid w:val="00C91CBB"/>
    <w:rsid w:val="00CA2201"/>
    <w:rsid w:val="00CB04D1"/>
    <w:rsid w:val="00CB57BA"/>
    <w:rsid w:val="00CC09B6"/>
    <w:rsid w:val="00CC666F"/>
    <w:rsid w:val="00CD1E3F"/>
    <w:rsid w:val="00CE44F6"/>
    <w:rsid w:val="00CE49DA"/>
    <w:rsid w:val="00CE7B61"/>
    <w:rsid w:val="00CF1B80"/>
    <w:rsid w:val="00D00095"/>
    <w:rsid w:val="00D13315"/>
    <w:rsid w:val="00D20620"/>
    <w:rsid w:val="00D26091"/>
    <w:rsid w:val="00D31264"/>
    <w:rsid w:val="00D31D64"/>
    <w:rsid w:val="00D34E7C"/>
    <w:rsid w:val="00D35489"/>
    <w:rsid w:val="00D40B1D"/>
    <w:rsid w:val="00D472A2"/>
    <w:rsid w:val="00D51276"/>
    <w:rsid w:val="00D56776"/>
    <w:rsid w:val="00D7035F"/>
    <w:rsid w:val="00D81474"/>
    <w:rsid w:val="00D86995"/>
    <w:rsid w:val="00D932D9"/>
    <w:rsid w:val="00DA4F7A"/>
    <w:rsid w:val="00DA65AC"/>
    <w:rsid w:val="00DB1913"/>
    <w:rsid w:val="00DC410D"/>
    <w:rsid w:val="00DC68CA"/>
    <w:rsid w:val="00DC7CBA"/>
    <w:rsid w:val="00DD73B7"/>
    <w:rsid w:val="00DE415A"/>
    <w:rsid w:val="00DF28BC"/>
    <w:rsid w:val="00DF2C0D"/>
    <w:rsid w:val="00DF34B9"/>
    <w:rsid w:val="00E01053"/>
    <w:rsid w:val="00E02369"/>
    <w:rsid w:val="00E07ACF"/>
    <w:rsid w:val="00E15D3D"/>
    <w:rsid w:val="00E331A1"/>
    <w:rsid w:val="00E33202"/>
    <w:rsid w:val="00E336A9"/>
    <w:rsid w:val="00E50624"/>
    <w:rsid w:val="00E568DF"/>
    <w:rsid w:val="00E64269"/>
    <w:rsid w:val="00E82267"/>
    <w:rsid w:val="00EA010F"/>
    <w:rsid w:val="00EA3475"/>
    <w:rsid w:val="00ED1B63"/>
    <w:rsid w:val="00ED3C1F"/>
    <w:rsid w:val="00ED4085"/>
    <w:rsid w:val="00ED420E"/>
    <w:rsid w:val="00EE29E4"/>
    <w:rsid w:val="00EE2F57"/>
    <w:rsid w:val="00EF237D"/>
    <w:rsid w:val="00EF4C34"/>
    <w:rsid w:val="00EF72F2"/>
    <w:rsid w:val="00EF77C6"/>
    <w:rsid w:val="00F05438"/>
    <w:rsid w:val="00F11633"/>
    <w:rsid w:val="00F1361C"/>
    <w:rsid w:val="00F160C7"/>
    <w:rsid w:val="00F207F4"/>
    <w:rsid w:val="00F22FCC"/>
    <w:rsid w:val="00F36D8F"/>
    <w:rsid w:val="00F417B1"/>
    <w:rsid w:val="00F602DF"/>
    <w:rsid w:val="00F80D6E"/>
    <w:rsid w:val="00F81FD9"/>
    <w:rsid w:val="00F82AD7"/>
    <w:rsid w:val="00F841AA"/>
    <w:rsid w:val="00FA23E8"/>
    <w:rsid w:val="00FA7D2D"/>
    <w:rsid w:val="00FB7825"/>
    <w:rsid w:val="00FC47AE"/>
    <w:rsid w:val="00FC4AF4"/>
    <w:rsid w:val="00FD3CC1"/>
    <w:rsid w:val="00FD6FC9"/>
    <w:rsid w:val="00FE1743"/>
    <w:rsid w:val="00FE6446"/>
    <w:rsid w:val="00FF0FCB"/>
    <w:rsid w:val="00FF1E02"/>
    <w:rsid w:val="00FF30B4"/>
    <w:rsid w:val="10C055FF"/>
    <w:rsid w:val="16BB723D"/>
    <w:rsid w:val="240371BF"/>
    <w:rsid w:val="29FD04D3"/>
    <w:rsid w:val="319F7F4E"/>
    <w:rsid w:val="47743764"/>
    <w:rsid w:val="62440E79"/>
    <w:rsid w:val="7CDE5A4E"/>
    <w:rsid w:val="7EAE4ABA"/>
    <w:rsid w:val="9CFE3114"/>
    <w:rsid w:val="CB3F77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30"/>
    <w:unhideWhenUsed/>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line="560" w:lineRule="exact"/>
    </w:pPr>
    <w:rPr>
      <w:rFonts w:ascii="仿宋" w:hAnsi="仿宋" w:eastAsia="仿宋"/>
      <w:sz w:val="28"/>
      <w:szCs w:val="28"/>
    </w:rPr>
  </w:style>
  <w:style w:type="paragraph" w:styleId="11">
    <w:name w:val="table of figures"/>
    <w:basedOn w:val="1"/>
    <w:next w:val="1"/>
    <w:semiHidden/>
    <w:qFormat/>
    <w:uiPriority w:val="99"/>
    <w:pPr>
      <w:ind w:left="200" w:leftChars="200" w:hanging="200" w:hangingChars="200"/>
    </w:pPr>
    <w:rPr>
      <w:rFonts w:eastAsia="仿宋"/>
      <w:sz w:val="32"/>
      <w:szCs w:val="32"/>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标题 2 Char"/>
    <w:basedOn w:val="15"/>
    <w:link w:val="3"/>
    <w:qFormat/>
    <w:uiPriority w:val="9"/>
    <w:rPr>
      <w:rFonts w:asciiTheme="majorHAnsi" w:hAnsiTheme="majorHAnsi" w:eastAsiaTheme="majorEastAsia" w:cstheme="majorBidi"/>
      <w:b/>
      <w:bCs/>
      <w:kern w:val="2"/>
      <w:sz w:val="32"/>
      <w:szCs w:val="32"/>
    </w:rPr>
  </w:style>
  <w:style w:type="character" w:customStyle="1" w:styleId="19">
    <w:name w:val="标题 3 Char"/>
    <w:basedOn w:val="15"/>
    <w:link w:val="4"/>
    <w:qFormat/>
    <w:uiPriority w:val="9"/>
    <w:rPr>
      <w:rFonts w:ascii="Times New Roman" w:hAnsi="Times New Roman"/>
      <w:b/>
      <w:bCs/>
      <w:kern w:val="2"/>
      <w:sz w:val="32"/>
      <w:szCs w:val="32"/>
    </w:rPr>
  </w:style>
  <w:style w:type="character" w:customStyle="1" w:styleId="20">
    <w:name w:val="Header Char"/>
    <w:basedOn w:val="15"/>
    <w:semiHidden/>
    <w:qFormat/>
    <w:uiPriority w:val="99"/>
    <w:rPr>
      <w:rFonts w:ascii="Times New Roman" w:hAnsi="Times New Roman"/>
      <w:sz w:val="18"/>
      <w:szCs w:val="18"/>
    </w:rPr>
  </w:style>
  <w:style w:type="character" w:customStyle="1" w:styleId="21">
    <w:name w:val="页眉 Char"/>
    <w:link w:val="9"/>
    <w:semiHidden/>
    <w:qFormat/>
    <w:locked/>
    <w:uiPriority w:val="99"/>
    <w:rPr>
      <w:sz w:val="18"/>
    </w:rPr>
  </w:style>
  <w:style w:type="character" w:customStyle="1" w:styleId="22">
    <w:name w:val="Footer Char"/>
    <w:basedOn w:val="15"/>
    <w:semiHidden/>
    <w:qFormat/>
    <w:uiPriority w:val="99"/>
    <w:rPr>
      <w:rFonts w:ascii="Times New Roman" w:hAnsi="Times New Roman"/>
      <w:sz w:val="18"/>
      <w:szCs w:val="18"/>
    </w:rPr>
  </w:style>
  <w:style w:type="character" w:customStyle="1" w:styleId="23">
    <w:name w:val="页脚 Char"/>
    <w:link w:val="8"/>
    <w:qFormat/>
    <w:locked/>
    <w:uiPriority w:val="99"/>
    <w:rPr>
      <w:sz w:val="18"/>
    </w:rPr>
  </w:style>
  <w:style w:type="character" w:customStyle="1" w:styleId="24">
    <w:name w:val="Body Text Char"/>
    <w:basedOn w:val="15"/>
    <w:semiHidden/>
    <w:qFormat/>
    <w:uiPriority w:val="99"/>
    <w:rPr>
      <w:rFonts w:ascii="Times New Roman" w:hAnsi="Times New Roman"/>
      <w:szCs w:val="24"/>
    </w:rPr>
  </w:style>
  <w:style w:type="character" w:customStyle="1" w:styleId="25">
    <w:name w:val="正文文本 Char"/>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7">
    <w:name w:val="List Paragraph"/>
    <w:basedOn w:val="1"/>
    <w:qFormat/>
    <w:uiPriority w:val="34"/>
    <w:pPr>
      <w:ind w:firstLine="420" w:firstLineChars="200"/>
    </w:pPr>
  </w:style>
  <w:style w:type="character" w:customStyle="1" w:styleId="28">
    <w:name w:val="标题 1 Char"/>
    <w:basedOn w:val="15"/>
    <w:link w:val="2"/>
    <w:qFormat/>
    <w:uiPriority w:val="9"/>
    <w:rPr>
      <w:rFonts w:ascii="Times New Roman" w:hAnsi="Times New Roman"/>
      <w:b/>
      <w:bCs/>
      <w:kern w:val="44"/>
      <w:sz w:val="44"/>
      <w:szCs w:val="44"/>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5"/>
    <w:link w:val="7"/>
    <w:semiHidden/>
    <w:qFormat/>
    <w:uiPriority w:val="99"/>
    <w:rPr>
      <w:rFonts w:ascii="Times New Roman" w:hAnsi="Times New Roman"/>
      <w:kern w:val="2"/>
      <w:sz w:val="18"/>
      <w:szCs w:val="18"/>
    </w:rPr>
  </w:style>
  <w:style w:type="paragraph" w:customStyle="1" w:styleId="31">
    <w:name w:val="正文 A"/>
    <w:qFormat/>
    <w:uiPriority w:val="0"/>
    <w:pPr>
      <w:framePr w:wrap="around" w:vAnchor="margin" w:hAnchor="text" w:y="1"/>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Sheet1!$B$1</c:f>
              <c:strCache>
                <c:ptCount val="1"/>
                <c:pt idx="0">
                  <c:v>收入总额</c:v>
                </c:pt>
              </c:strCache>
            </c:strRef>
          </c:tx>
          <c:spPr>
            <a:solidFill>
              <a:schemeClr val="accent1"/>
            </a:solidFill>
            <a:ln>
              <a:noFill/>
            </a:ln>
            <a:effectLst/>
          </c:spPr>
          <c:invertIfNegative val="0"/>
          <c:dLbls>
            <c:delete val="1"/>
          </c:dLbls>
          <c:cat>
            <c:strRef>
              <c:f>Sheet1!$A$2:$A$3</c:f>
              <c:strCache>
                <c:ptCount val="2"/>
                <c:pt idx="0">
                  <c:v>2019年</c:v>
                </c:pt>
                <c:pt idx="1">
                  <c:v>2020年</c:v>
                </c:pt>
              </c:strCache>
            </c:strRef>
          </c:cat>
          <c:val>
            <c:numRef>
              <c:f>Sheet1!$B$2:$B$3</c:f>
              <c:numCache>
                <c:formatCode>General</c:formatCode>
                <c:ptCount val="2"/>
                <c:pt idx="0">
                  <c:v>1304.12</c:v>
                </c:pt>
                <c:pt idx="1">
                  <c:v>5035.2</c:v>
                </c:pt>
              </c:numCache>
            </c:numRef>
          </c:val>
        </c:ser>
        <c:ser>
          <c:idx val="1"/>
          <c:order val="1"/>
          <c:tx>
            <c:strRef>
              <c:f>Sheet1!$C$1</c:f>
              <c:strCache>
                <c:ptCount val="1"/>
                <c:pt idx="0">
                  <c:v>支出总额</c:v>
                </c:pt>
              </c:strCache>
            </c:strRef>
          </c:tx>
          <c:spPr>
            <a:solidFill>
              <a:schemeClr val="accent2"/>
            </a:solidFill>
            <a:ln>
              <a:noFill/>
            </a:ln>
            <a:effectLst/>
          </c:spPr>
          <c:invertIfNegative val="0"/>
          <c:dLbls>
            <c:delete val="1"/>
          </c:dLbls>
          <c:cat>
            <c:strRef>
              <c:f>Sheet1!$A$2:$A$3</c:f>
              <c:strCache>
                <c:ptCount val="2"/>
                <c:pt idx="0">
                  <c:v>2019年</c:v>
                </c:pt>
                <c:pt idx="1">
                  <c:v>2020年</c:v>
                </c:pt>
              </c:strCache>
            </c:strRef>
          </c:cat>
          <c:val>
            <c:numRef>
              <c:f>Sheet1!$C$2:$C$3</c:f>
              <c:numCache>
                <c:formatCode>General</c:formatCode>
                <c:ptCount val="2"/>
                <c:pt idx="0">
                  <c:v>1463.97</c:v>
                </c:pt>
                <c:pt idx="1">
                  <c:v>4359.13</c:v>
                </c:pt>
              </c:numCache>
            </c:numRef>
          </c:val>
        </c:ser>
        <c:dLbls>
          <c:showLegendKey val="0"/>
          <c:showVal val="0"/>
          <c:showCatName val="0"/>
          <c:showSerName val="0"/>
          <c:showPercent val="0"/>
          <c:showBubbleSize val="0"/>
        </c:dLbls>
        <c:gapWidth val="150"/>
        <c:axId val="200201728"/>
        <c:axId val="200525696"/>
      </c:barChart>
      <c:catAx>
        <c:axId val="20020172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525696"/>
        <c:crosses val="autoZero"/>
        <c:auto val="1"/>
        <c:lblAlgn val="ctr"/>
        <c:lblOffset val="100"/>
        <c:noMultiLvlLbl val="0"/>
      </c:catAx>
      <c:valAx>
        <c:axId val="2005256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20172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c:v>
                </c:pt>
              </c:strCache>
            </c:strRef>
          </c:tx>
          <c:explosion val="0"/>
          <c:dPt>
            <c:idx val="0"/>
            <c:bubble3D val="0"/>
          </c:dPt>
          <c:dPt>
            <c:idx val="1"/>
            <c:bubble3D val="0"/>
          </c:dPt>
          <c:dLbls>
            <c:delete val="1"/>
          </c:dLbls>
          <c:cat>
            <c:strRef>
              <c:f>Sheet1!$A$2:$A$3</c:f>
              <c:strCache>
                <c:ptCount val="2"/>
                <c:pt idx="0">
                  <c:v>一般公共预算拨款</c:v>
                </c:pt>
                <c:pt idx="1">
                  <c:v>政府性基金预算拨款</c:v>
                </c:pt>
              </c:strCache>
            </c:strRef>
          </c:cat>
          <c:val>
            <c:numRef>
              <c:f>Sheet1!$B$2:$B$3</c:f>
              <c:numCache>
                <c:formatCode>General</c:formatCode>
                <c:ptCount val="2"/>
                <c:pt idx="0">
                  <c:v>2209.2</c:v>
                </c:pt>
                <c:pt idx="1">
                  <c:v>2826</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781.97</c:v>
                </c:pt>
                <c:pt idx="1">
                  <c:v>3577.17</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Sheet1!$B$1</c:f>
              <c:strCache>
                <c:ptCount val="1"/>
                <c:pt idx="0">
                  <c:v>收入总额</c:v>
                </c:pt>
              </c:strCache>
            </c:strRef>
          </c:tx>
          <c:spPr>
            <a:solidFill>
              <a:schemeClr val="accent1"/>
            </a:solidFill>
            <a:ln>
              <a:noFill/>
            </a:ln>
            <a:effectLst/>
          </c:spPr>
          <c:invertIfNegative val="0"/>
          <c:dLbls>
            <c:delete val="1"/>
          </c:dLbls>
          <c:cat>
            <c:strRef>
              <c:f>Sheet1!$A$2:$A$3</c:f>
              <c:strCache>
                <c:ptCount val="2"/>
                <c:pt idx="0">
                  <c:v>2019年</c:v>
                </c:pt>
                <c:pt idx="1">
                  <c:v>2020年</c:v>
                </c:pt>
              </c:strCache>
            </c:strRef>
          </c:cat>
          <c:val>
            <c:numRef>
              <c:f>Sheet1!$B$2:$B$3</c:f>
              <c:numCache>
                <c:formatCode>General</c:formatCode>
                <c:ptCount val="2"/>
                <c:pt idx="0">
                  <c:v>1304.12</c:v>
                </c:pt>
                <c:pt idx="1">
                  <c:v>5035.2</c:v>
                </c:pt>
              </c:numCache>
            </c:numRef>
          </c:val>
        </c:ser>
        <c:ser>
          <c:idx val="1"/>
          <c:order val="1"/>
          <c:tx>
            <c:strRef>
              <c:f>Sheet1!$C$1</c:f>
              <c:strCache>
                <c:ptCount val="1"/>
                <c:pt idx="0">
                  <c:v>支出总额</c:v>
                </c:pt>
              </c:strCache>
            </c:strRef>
          </c:tx>
          <c:spPr>
            <a:solidFill>
              <a:schemeClr val="accent2"/>
            </a:solidFill>
            <a:ln>
              <a:noFill/>
            </a:ln>
            <a:effectLst/>
          </c:spPr>
          <c:invertIfNegative val="0"/>
          <c:dLbls>
            <c:delete val="1"/>
          </c:dLbls>
          <c:cat>
            <c:strRef>
              <c:f>Sheet1!$A$2:$A$3</c:f>
              <c:strCache>
                <c:ptCount val="2"/>
                <c:pt idx="0">
                  <c:v>2019年</c:v>
                </c:pt>
                <c:pt idx="1">
                  <c:v>2020年</c:v>
                </c:pt>
              </c:strCache>
            </c:strRef>
          </c:cat>
          <c:val>
            <c:numRef>
              <c:f>Sheet1!$C$2:$C$3</c:f>
              <c:numCache>
                <c:formatCode>General</c:formatCode>
                <c:ptCount val="2"/>
                <c:pt idx="0">
                  <c:v>1463.97</c:v>
                </c:pt>
                <c:pt idx="1">
                  <c:v>4359.13</c:v>
                </c:pt>
              </c:numCache>
            </c:numRef>
          </c:val>
        </c:ser>
        <c:dLbls>
          <c:showLegendKey val="0"/>
          <c:showVal val="0"/>
          <c:showCatName val="0"/>
          <c:showSerName val="0"/>
          <c:showPercent val="0"/>
          <c:showBubbleSize val="0"/>
        </c:dLbls>
        <c:gapWidth val="150"/>
        <c:axId val="266005888"/>
        <c:axId val="266472832"/>
      </c:barChart>
      <c:catAx>
        <c:axId val="26600588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6472832"/>
        <c:crosses val="autoZero"/>
        <c:auto val="1"/>
        <c:lblAlgn val="ctr"/>
        <c:lblOffset val="100"/>
        <c:noMultiLvlLbl val="0"/>
      </c:catAx>
      <c:valAx>
        <c:axId val="2664728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600588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1"/>
          <c:order val="0"/>
          <c:tx>
            <c:strRef>
              <c:f>Sheet1!$B$1</c:f>
              <c:strCache>
                <c:ptCount val="1"/>
                <c:pt idx="0">
                  <c:v>支出总额</c:v>
                </c:pt>
              </c:strCache>
            </c:strRef>
          </c:tx>
          <c:spPr>
            <a:solidFill>
              <a:schemeClr val="accent2"/>
            </a:solidFill>
            <a:ln>
              <a:noFill/>
            </a:ln>
            <a:effectLst/>
          </c:spPr>
          <c:invertIfNegative val="0"/>
          <c:dLbls>
            <c:delete val="1"/>
          </c:dLbls>
          <c:cat>
            <c:strRef>
              <c:f>Sheet1!$A$2:$A$3</c:f>
              <c:strCache>
                <c:ptCount val="2"/>
                <c:pt idx="0">
                  <c:v>2019年</c:v>
                </c:pt>
                <c:pt idx="1">
                  <c:v>2020年</c:v>
                </c:pt>
              </c:strCache>
            </c:strRef>
          </c:cat>
          <c:val>
            <c:numRef>
              <c:f>Sheet1!$B$2:$B$3</c:f>
              <c:numCache>
                <c:formatCode>General</c:formatCode>
                <c:ptCount val="2"/>
                <c:pt idx="0">
                  <c:v>1463.97</c:v>
                </c:pt>
                <c:pt idx="1">
                  <c:v>1533.13</c:v>
                </c:pt>
              </c:numCache>
            </c:numRef>
          </c:val>
        </c:ser>
        <c:dLbls>
          <c:showLegendKey val="0"/>
          <c:showVal val="0"/>
          <c:showCatName val="0"/>
          <c:showSerName val="0"/>
          <c:showPercent val="0"/>
          <c:showBubbleSize val="0"/>
        </c:dLbls>
        <c:gapWidth val="150"/>
        <c:axId val="187425152"/>
        <c:axId val="187426688"/>
      </c:barChart>
      <c:catAx>
        <c:axId val="18742515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7426688"/>
        <c:crosses val="autoZero"/>
        <c:auto val="1"/>
        <c:lblAlgn val="ctr"/>
        <c:lblOffset val="100"/>
        <c:noMultiLvlLbl val="0"/>
      </c:catAx>
      <c:valAx>
        <c:axId val="1874266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7425152"/>
        <c:crosses val="autoZero"/>
        <c:crossBetween val="between"/>
      </c:valAx>
      <c:spPr>
        <a:noFill/>
        <a:ln w="25400">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explosion val="0"/>
          <c:dPt>
            <c:idx val="0"/>
            <c:bubble3D val="0"/>
          </c:dPt>
          <c:dPt>
            <c:idx val="1"/>
            <c:bubble3D val="0"/>
          </c:dPt>
          <c:dPt>
            <c:idx val="2"/>
            <c:bubble3D val="0"/>
          </c:dPt>
          <c:dLbls>
            <c:delete val="1"/>
          </c:dLbls>
          <c:cat>
            <c:strRef>
              <c:f>Sheet1!$A$2:$A$4</c:f>
              <c:strCache>
                <c:ptCount val="3"/>
                <c:pt idx="0">
                  <c:v>社会保障和就业</c:v>
                </c:pt>
                <c:pt idx="1">
                  <c:v>医疗卫生支出</c:v>
                </c:pt>
                <c:pt idx="2">
                  <c:v>住房保障支出</c:v>
                </c:pt>
              </c:strCache>
            </c:strRef>
          </c:cat>
          <c:val>
            <c:numRef>
              <c:f>Sheet1!$B$2:$B$4</c:f>
              <c:numCache>
                <c:formatCode>General</c:formatCode>
                <c:ptCount val="3"/>
                <c:pt idx="0">
                  <c:v>53.2</c:v>
                </c:pt>
                <c:pt idx="1">
                  <c:v>1439.83</c:v>
                </c:pt>
                <c:pt idx="2">
                  <c:v>40.1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支出额</c:v>
                </c:pt>
              </c:strCache>
            </c:strRef>
          </c:tx>
          <c:explosion val="0"/>
          <c:dPt>
            <c:idx val="0"/>
            <c:bubble3D val="0"/>
          </c:dPt>
          <c:dPt>
            <c:idx val="1"/>
            <c:bubble3D val="0"/>
          </c:dPt>
          <c:dLbls>
            <c:delete val="1"/>
          </c:dLbls>
          <c:cat>
            <c:strRef>
              <c:f>Sheet1!$A$2:$A$3</c:f>
              <c:strCache>
                <c:ptCount val="2"/>
                <c:pt idx="0">
                  <c:v>公务用车运行维护费</c:v>
                </c:pt>
                <c:pt idx="1">
                  <c:v>公务接待费</c:v>
                </c:pt>
              </c:strCache>
            </c:strRef>
          </c:cat>
          <c:val>
            <c:numRef>
              <c:f>Sheet1!$B$2:$B$3</c:f>
              <c:numCache>
                <c:formatCode>General</c:formatCode>
                <c:ptCount val="2"/>
                <c:pt idx="0">
                  <c:v>20.96</c:v>
                </c:pt>
                <c:pt idx="1">
                  <c:v>1.63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35</Pages>
  <Words>2445</Words>
  <Characters>13940</Characters>
  <Lines>116</Lines>
  <Paragraphs>32</Paragraphs>
  <TotalTime>3</TotalTime>
  <ScaleCrop>false</ScaleCrop>
  <LinksUpToDate>false</LinksUpToDate>
  <CharactersWithSpaces>16353</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2019-08-01T17:14:00Z</dcterms:created>
  <dc:creator>张彬茜</dc:creator>
  <cp:lastModifiedBy>user</cp:lastModifiedBy>
  <cp:lastPrinted>2019-09-27T01:25:00Z</cp:lastPrinted>
  <dcterms:modified xsi:type="dcterms:W3CDTF">2023-06-30T14:51:20Z</dcterms:modified>
  <dc:title>四川省***</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ies>
</file>