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Times New Roman" w:eastAsia="方正小标宋简体"/>
          <w:b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b/>
          <w:kern w:val="0"/>
          <w:sz w:val="44"/>
          <w:szCs w:val="44"/>
        </w:rPr>
        <w:t>巴中市“一老一小”重大要素清单（托育）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75"/>
        <w:gridCol w:w="1575"/>
        <w:gridCol w:w="3795"/>
        <w:gridCol w:w="3510"/>
        <w:gridCol w:w="2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要素名称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“十四五”保障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举措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预期目标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市场培育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建设补贴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通过卫生健康部门备案的社会办托育机构，以不高于普惠托育服务价格收托适龄婴幼儿的，给予一次性建设资金补助。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社会资本投资举办托育服务机构的积极性普遍提高，并且愿意提供普惠托育服务。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市发展改革委、市财政局、市卫生健康委，各县（区）人民政府、巴中经开区管委会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市场培育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营运补贴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以不高于普惠托育服务价格收托适龄婴幼儿的，根据实际收托数（不超过机构最高核定托位数），每年给予普惠托位运营补助。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50%以上的营利性托育服务机构提供普惠托育服务。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市财政局、市卫生健康委，各县（区）人民政府、巴中经开区管委会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市场培育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奖补资金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对在全市范围内连锁经营（同一投资主体）4家以上托育机构，或2家托育机构收托婴幼儿均在150人以上的，给予一次性奖补。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培育大型连锁托育服务机构6家以上。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市财政局、市卫生健康委，各县（区）人民政府、巴中经开区管委会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02C3427D"/>
    <w:rsid w:val="02C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Plain Text"/>
    <w:next w:val="4"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华文仿宋" w:cs="Times New Roman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2022-07-21T10:10:00Z</dcterms:created>
  <dc:creator>DELL</dc:creator>
  <cp:lastModifiedBy>DELL</cp:lastModifiedBy>
  <dcterms:modified xsi:type="dcterms:W3CDTF">2022-07-21T10:11:20Z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CCA669669AC64F9CA8129DDBA67E1756</vt:lpwstr>
  </property>
</Properties>
</file>