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黑体" w:hAnsi="黑体" w:eastAsia="黑体" w:cs="黑体"/>
          <w:color w:val="000000"/>
          <w:sz w:val="30"/>
          <w:szCs w:val="30"/>
        </w:rPr>
      </w:pPr>
      <w:bookmarkStart w:id="0" w:name="_Toc15306267"/>
      <w:r>
        <w:rPr>
          <w:rFonts w:hint="eastAsia" w:ascii="黑体" w:hAnsi="黑体" w:eastAsia="黑体" w:cs="黑体"/>
          <w:color w:val="000000"/>
          <w:sz w:val="30"/>
          <w:szCs w:val="30"/>
        </w:rPr>
        <w:t>附件4</w:t>
      </w: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黑体" w:hAnsi="黑体" w:eastAsia="黑体" w:cs="黑体"/>
          <w:color w:val="000000"/>
          <w:sz w:val="72"/>
          <w:szCs w:val="72"/>
        </w:rPr>
      </w:pPr>
      <w:bookmarkStart w:id="1" w:name="_Toc15378441"/>
      <w:bookmarkStart w:id="2" w:name="_Toc15396597"/>
      <w:bookmarkStart w:id="3" w:name="_Toc15396475"/>
      <w:bookmarkStart w:id="4" w:name="_Toc15377193"/>
      <w:bookmarkStart w:id="5" w:name="_Toc15377425"/>
      <w:r>
        <w:rPr>
          <w:rFonts w:hint="eastAsia" w:ascii="黑体" w:hAnsi="黑体" w:eastAsia="黑体" w:cs="黑体"/>
          <w:color w:val="000000"/>
          <w:sz w:val="72"/>
          <w:szCs w:val="72"/>
        </w:rPr>
        <w:t>2020年度</w:t>
      </w:r>
      <w:bookmarkEnd w:id="1"/>
      <w:bookmarkEnd w:id="2"/>
      <w:bookmarkEnd w:id="3"/>
      <w:bookmarkEnd w:id="4"/>
      <w:bookmarkEnd w:id="5"/>
    </w:p>
    <w:bookmarkEnd w:id="0"/>
    <w:p>
      <w:pPr>
        <w:adjustRightInd w:val="0"/>
        <w:snapToGrid w:val="0"/>
        <w:spacing w:line="360" w:lineRule="auto"/>
        <w:jc w:val="center"/>
        <w:outlineLvl w:val="0"/>
        <w:rPr>
          <w:rFonts w:hint="eastAsia" w:ascii="黑体" w:hAnsi="黑体" w:eastAsia="黑体" w:cs="黑体"/>
          <w:color w:val="000000"/>
          <w:sz w:val="72"/>
          <w:szCs w:val="72"/>
        </w:rPr>
      </w:pPr>
      <w:bookmarkStart w:id="6" w:name="_Toc15377194"/>
      <w:bookmarkStart w:id="7" w:name="_Toc15396476"/>
      <w:bookmarkStart w:id="8" w:name="_Toc15396598"/>
      <w:bookmarkStart w:id="9" w:name="_Toc15378442"/>
      <w:bookmarkStart w:id="10" w:name="_Toc15306268"/>
      <w:bookmarkStart w:id="11" w:name="_Toc15377426"/>
      <w:r>
        <w:rPr>
          <w:rFonts w:hint="eastAsia" w:ascii="黑体" w:hAnsi="黑体" w:eastAsia="黑体" w:cs="黑体"/>
          <w:color w:val="000000"/>
          <w:sz w:val="72"/>
          <w:szCs w:val="72"/>
        </w:rPr>
        <w:t>巴中市无偿献血工作领导小组办公室部门决算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  录</w:t>
      </w:r>
    </w:p>
    <w:p>
      <w:pPr>
        <w:widowControl/>
        <w:jc w:val="center"/>
        <w:rPr>
          <w:rFonts w:ascii="黑体" w:hAnsi="黑体" w:eastAsia="黑体"/>
          <w:sz w:val="28"/>
          <w:szCs w:val="28"/>
        </w:rPr>
      </w:pPr>
    </w:p>
    <w:p>
      <w:pPr>
        <w:pStyle w:val="11"/>
      </w:pPr>
      <w:r>
        <w:rPr>
          <w:rFonts w:hint="eastAsia"/>
        </w:rPr>
        <w:t>公开时间：</w:t>
      </w:r>
      <w:r>
        <w:t>2021</w:t>
      </w:r>
      <w:r>
        <w:rPr>
          <w:rFonts w:hint="eastAsia"/>
        </w:rPr>
        <w:t>年 9月</w:t>
      </w:r>
      <w:r>
        <w:rPr>
          <w:rFonts w:hint="eastAsia"/>
          <w:lang w:val="en-US" w:eastAsia="zh-CN"/>
        </w:rPr>
        <w:t>15</w:t>
      </w:r>
      <w:bookmarkStart w:id="77" w:name="_GoBack"/>
      <w:bookmarkEnd w:id="77"/>
      <w:r>
        <w:rPr>
          <w:rFonts w:hint="eastAsia"/>
        </w:rPr>
        <w:t>日</w:t>
      </w:r>
    </w:p>
    <w:p>
      <w:pPr>
        <w:spacing w:line="600" w:lineRule="exact"/>
        <w:rPr>
          <w:rFonts w:ascii="仿宋" w:hAnsi="仿宋" w:eastAsia="仿宋"/>
          <w:sz w:val="28"/>
          <w:szCs w:val="28"/>
        </w:rPr>
      </w:pPr>
    </w:p>
    <w:p>
      <w:pPr>
        <w:pStyle w:val="11"/>
        <w:adjustRightInd w:val="0"/>
        <w:snapToGrid w:val="0"/>
        <w:spacing w:before="0" w:line="600" w:lineRule="exact"/>
        <w:jc w:val="left"/>
      </w:pPr>
      <w:r>
        <w:rPr>
          <w:rFonts w:hint="eastAsia"/>
        </w:rPr>
        <w:t>第一部分</w:t>
      </w:r>
      <w:r>
        <w:t xml:space="preserve"> </w:t>
      </w:r>
      <w:r>
        <w:rPr>
          <w:rFonts w:hint="eastAsia"/>
        </w:rPr>
        <w:t>部门概况</w:t>
      </w:r>
      <w:r>
        <w:rPr>
          <w:rFonts w:hint="eastAsia"/>
          <w:sz w:val="24"/>
          <w:szCs w:val="24"/>
        </w:rPr>
        <w:t>··············································· 1</w:t>
      </w:r>
    </w:p>
    <w:p>
      <w:pPr>
        <w:pStyle w:val="11"/>
        <w:adjustRightInd w:val="0"/>
        <w:snapToGrid w:val="0"/>
        <w:spacing w:before="0" w:line="600" w:lineRule="exact"/>
        <w:jc w:val="left"/>
      </w:pPr>
      <w:r>
        <w:rPr>
          <w:rFonts w:hint="eastAsia"/>
        </w:rPr>
        <w:t>一、基本职能及主要工作</w:t>
      </w:r>
      <w:r>
        <w:rPr>
          <w:rFonts w:hint="eastAsia"/>
          <w:sz w:val="24"/>
          <w:szCs w:val="24"/>
        </w:rPr>
        <w:t>··········································· 1</w:t>
      </w:r>
    </w:p>
    <w:p>
      <w:pPr>
        <w:pStyle w:val="12"/>
        <w:adjustRightInd w:val="0"/>
        <w:snapToGrid w:val="0"/>
        <w:spacing w:line="600" w:lineRule="exact"/>
        <w:ind w:left="0" w:leftChars="0"/>
        <w:jc w:val="left"/>
        <w:rPr>
          <w:rFonts w:ascii="仿宋" w:hAnsi="仿宋" w:eastAsia="仿宋"/>
          <w:sz w:val="24"/>
        </w:rPr>
      </w:pPr>
      <w:r>
        <w:rPr>
          <w:rFonts w:hint="eastAsia" w:ascii="仿宋" w:hAnsi="仿宋" w:eastAsia="仿宋"/>
          <w:sz w:val="28"/>
          <w:szCs w:val="28"/>
        </w:rPr>
        <w:t>二、机构设置</w:t>
      </w:r>
      <w:r>
        <w:rPr>
          <w:rFonts w:hint="eastAsia" w:ascii="仿宋" w:hAnsi="仿宋" w:eastAsia="仿宋"/>
          <w:sz w:val="24"/>
        </w:rPr>
        <w:t>············································</w:t>
      </w:r>
      <w:r>
        <w:rPr>
          <w:rFonts w:hint="eastAsia"/>
          <w:sz w:val="24"/>
          <w:szCs w:val="24"/>
        </w:rPr>
        <w:t>·</w:t>
      </w:r>
      <w:r>
        <w:rPr>
          <w:rFonts w:hint="eastAsia" w:ascii="仿宋" w:hAnsi="仿宋" w:eastAsia="仿宋"/>
          <w:sz w:val="24"/>
        </w:rPr>
        <w:t>·········· 1</w:t>
      </w:r>
    </w:p>
    <w:p>
      <w:pPr>
        <w:pStyle w:val="11"/>
        <w:adjustRightInd w:val="0"/>
        <w:snapToGrid w:val="0"/>
        <w:spacing w:before="0" w:line="600" w:lineRule="exact"/>
        <w:jc w:val="left"/>
      </w:pPr>
      <w:r>
        <w:rPr>
          <w:rFonts w:hint="eastAsia"/>
        </w:rPr>
        <w:t>第二部分 2020年度部门决算情况说明</w:t>
      </w:r>
      <w:r>
        <w:rPr>
          <w:rFonts w:hint="eastAsia"/>
          <w:sz w:val="24"/>
          <w:szCs w:val="24"/>
        </w:rPr>
        <w:t>···························· 2</w:t>
      </w:r>
    </w:p>
    <w:p>
      <w:pPr>
        <w:pStyle w:val="12"/>
        <w:adjustRightInd w:val="0"/>
        <w:snapToGrid w:val="0"/>
        <w:spacing w:line="600" w:lineRule="exact"/>
        <w:ind w:left="0" w:leftChars="0"/>
        <w:jc w:val="left"/>
        <w:rPr>
          <w:rFonts w:ascii="仿宋" w:hAnsi="仿宋" w:eastAsia="仿宋"/>
          <w:sz w:val="28"/>
          <w:szCs w:val="28"/>
        </w:rPr>
      </w:pPr>
      <w:r>
        <w:rPr>
          <w:rFonts w:hint="eastAsia" w:ascii="仿宋" w:hAnsi="仿宋" w:eastAsia="仿宋"/>
          <w:sz w:val="28"/>
          <w:szCs w:val="28"/>
        </w:rPr>
        <w:t>一、收入支出决算总体情况说明</w:t>
      </w:r>
      <w:r>
        <w:rPr>
          <w:rFonts w:hint="eastAsia" w:ascii="仿宋" w:hAnsi="仿宋" w:eastAsia="仿宋"/>
          <w:sz w:val="24"/>
        </w:rPr>
        <w:t>································</w:t>
      </w:r>
      <w:r>
        <w:rPr>
          <w:rFonts w:hint="eastAsia"/>
          <w:sz w:val="24"/>
          <w:szCs w:val="24"/>
        </w:rPr>
        <w:t>·</w:t>
      </w:r>
      <w:r>
        <w:rPr>
          <w:rFonts w:hint="eastAsia" w:ascii="仿宋" w:hAnsi="仿宋" w:eastAsia="仿宋"/>
          <w:sz w:val="24"/>
        </w:rPr>
        <w:t>··· 2</w:t>
      </w:r>
    </w:p>
    <w:p>
      <w:pPr>
        <w:pStyle w:val="12"/>
        <w:adjustRightInd w:val="0"/>
        <w:snapToGrid w:val="0"/>
        <w:spacing w:line="600" w:lineRule="exact"/>
        <w:ind w:left="0" w:leftChars="0"/>
        <w:jc w:val="left"/>
        <w:rPr>
          <w:rFonts w:ascii="仿宋" w:hAnsi="仿宋" w:eastAsia="仿宋"/>
          <w:sz w:val="28"/>
          <w:szCs w:val="28"/>
        </w:rPr>
      </w:pPr>
      <w:r>
        <w:rPr>
          <w:rFonts w:hint="eastAsia" w:ascii="仿宋" w:hAnsi="仿宋" w:eastAsia="仿宋"/>
          <w:sz w:val="28"/>
          <w:szCs w:val="28"/>
        </w:rPr>
        <w:t>二、收入决算情况说明</w:t>
      </w:r>
      <w:r>
        <w:rPr>
          <w:rFonts w:hint="eastAsia" w:ascii="仿宋" w:hAnsi="仿宋" w:eastAsia="仿宋"/>
          <w:sz w:val="24"/>
        </w:rPr>
        <w:t>············································· 2</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三、支出决算情况说明</w:t>
      </w:r>
      <w:r>
        <w:rPr>
          <w:rFonts w:hint="eastAsia" w:ascii="仿宋" w:hAnsi="仿宋" w:eastAsia="仿宋"/>
          <w:sz w:val="24"/>
        </w:rPr>
        <w:t xml:space="preserve">············································· </w:t>
      </w:r>
      <w:r>
        <w:rPr>
          <w:rFonts w:hint="eastAsia" w:ascii="仿宋" w:hAnsi="仿宋" w:eastAsia="仿宋"/>
          <w:sz w:val="24"/>
          <w:lang w:val="en-US" w:eastAsia="zh-CN"/>
        </w:rPr>
        <w:t>3</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四、财政拨款收入支出决算总体情况说明</w:t>
      </w:r>
      <w:r>
        <w:rPr>
          <w:rFonts w:hint="eastAsia" w:ascii="仿宋" w:hAnsi="仿宋" w:eastAsia="仿宋"/>
          <w:sz w:val="24"/>
        </w:rPr>
        <w:t xml:space="preserve">··························· </w:t>
      </w:r>
      <w:r>
        <w:rPr>
          <w:rFonts w:hint="eastAsia" w:ascii="仿宋" w:hAnsi="仿宋" w:eastAsia="仿宋"/>
          <w:sz w:val="24"/>
          <w:lang w:val="en-US" w:eastAsia="zh-CN"/>
        </w:rPr>
        <w:t>3</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五、一般公共预算财政拨款支出决算情况说明</w:t>
      </w:r>
      <w:r>
        <w:rPr>
          <w:rFonts w:hint="eastAsia" w:ascii="仿宋" w:hAnsi="仿宋" w:eastAsia="仿宋"/>
          <w:sz w:val="24"/>
        </w:rPr>
        <w:t xml:space="preserve">······················ </w:t>
      </w:r>
      <w:r>
        <w:rPr>
          <w:rFonts w:hint="eastAsia" w:ascii="仿宋" w:hAnsi="仿宋" w:eastAsia="仿宋"/>
          <w:sz w:val="24"/>
          <w:lang w:val="en-US" w:eastAsia="zh-CN"/>
        </w:rPr>
        <w:t>4</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六、一般公共预算财政拨款基本支出决算情况说明</w:t>
      </w:r>
      <w:r>
        <w:rPr>
          <w:rFonts w:hint="eastAsia" w:ascii="仿宋" w:hAnsi="仿宋" w:eastAsia="仿宋"/>
          <w:sz w:val="24"/>
        </w:rPr>
        <w:t xml:space="preserve">················· </w:t>
      </w:r>
      <w:r>
        <w:rPr>
          <w:rFonts w:hint="eastAsia" w:ascii="仿宋" w:hAnsi="仿宋" w:eastAsia="仿宋"/>
          <w:sz w:val="24"/>
          <w:lang w:val="en-US" w:eastAsia="zh-CN"/>
        </w:rPr>
        <w:t>5</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七、</w:t>
      </w:r>
      <w:r>
        <w:rPr>
          <w:rFonts w:ascii="仿宋" w:hAnsi="仿宋" w:eastAsia="仿宋"/>
          <w:sz w:val="28"/>
          <w:szCs w:val="28"/>
        </w:rPr>
        <w:t>“</w:t>
      </w:r>
      <w:r>
        <w:rPr>
          <w:rFonts w:hint="eastAsia" w:ascii="仿宋" w:hAnsi="仿宋" w:eastAsia="仿宋"/>
          <w:sz w:val="28"/>
          <w:szCs w:val="28"/>
        </w:rPr>
        <w:t>三公”经费财政拨款支出决算情况说明</w:t>
      </w:r>
      <w:r>
        <w:rPr>
          <w:rFonts w:hint="eastAsia" w:ascii="仿宋" w:hAnsi="仿宋" w:eastAsia="仿宋"/>
          <w:sz w:val="24"/>
        </w:rPr>
        <w:t xml:space="preserve">······················ </w:t>
      </w:r>
      <w:r>
        <w:rPr>
          <w:rFonts w:hint="eastAsia" w:ascii="仿宋" w:hAnsi="仿宋" w:eastAsia="仿宋"/>
          <w:sz w:val="24"/>
          <w:lang w:val="en-US" w:eastAsia="zh-CN"/>
        </w:rPr>
        <w:t>6</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八、政府性基金预算支出决算情况说明</w:t>
      </w:r>
      <w:r>
        <w:rPr>
          <w:rFonts w:hint="eastAsia" w:ascii="仿宋" w:hAnsi="仿宋" w:eastAsia="仿宋"/>
          <w:sz w:val="24"/>
        </w:rPr>
        <w:t xml:space="preserve">···························· </w:t>
      </w:r>
      <w:r>
        <w:rPr>
          <w:rFonts w:hint="eastAsia" w:ascii="仿宋" w:hAnsi="仿宋" w:eastAsia="仿宋"/>
          <w:sz w:val="24"/>
          <w:lang w:val="en-US" w:eastAsia="zh-CN"/>
        </w:rPr>
        <w:t>8</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九、</w:t>
      </w:r>
      <w:r>
        <w:rPr>
          <w:rFonts w:ascii="仿宋" w:hAnsi="仿宋" w:eastAsia="仿宋"/>
          <w:sz w:val="28"/>
          <w:szCs w:val="28"/>
        </w:rPr>
        <w:t xml:space="preserve"> </w:t>
      </w:r>
      <w:r>
        <w:rPr>
          <w:rFonts w:hint="eastAsia" w:ascii="仿宋" w:hAnsi="仿宋" w:eastAsia="仿宋"/>
          <w:sz w:val="28"/>
          <w:szCs w:val="28"/>
        </w:rPr>
        <w:t>国有资本经营预算支出决算情况说明</w:t>
      </w:r>
      <w:r>
        <w:rPr>
          <w:rFonts w:hint="eastAsia" w:ascii="仿宋" w:hAnsi="仿宋" w:eastAsia="仿宋"/>
          <w:sz w:val="24"/>
        </w:rPr>
        <w:t xml:space="preserve">························· </w:t>
      </w:r>
      <w:r>
        <w:rPr>
          <w:rFonts w:hint="eastAsia" w:ascii="仿宋" w:hAnsi="仿宋" w:eastAsia="仿宋"/>
          <w:sz w:val="24"/>
          <w:lang w:val="en-US" w:eastAsia="zh-CN"/>
        </w:rPr>
        <w:t>8</w:t>
      </w:r>
    </w:p>
    <w:p>
      <w:pPr>
        <w:adjustRightInd w:val="0"/>
        <w:snapToGrid w:val="0"/>
        <w:spacing w:line="600" w:lineRule="exact"/>
        <w:jc w:val="left"/>
        <w:rPr>
          <w:rFonts w:hint="eastAsia" w:ascii="仿宋" w:hAnsi="仿宋" w:eastAsia="仿宋"/>
          <w:sz w:val="28"/>
          <w:szCs w:val="28"/>
          <w:lang w:val="en-US" w:eastAsia="zh-CN"/>
        </w:rPr>
      </w:pPr>
      <w:r>
        <w:rPr>
          <w:rStyle w:val="16"/>
          <w:rFonts w:hint="eastAsia" w:ascii="仿宋" w:hAnsi="仿宋" w:eastAsia="仿宋"/>
          <w:color w:val="000000"/>
          <w:sz w:val="28"/>
          <w:szCs w:val="28"/>
          <w:u w:val="none"/>
        </w:rPr>
        <w:t>十、</w:t>
      </w:r>
      <w:r>
        <w:rPr>
          <w:rFonts w:hint="eastAsia" w:ascii="仿宋" w:hAnsi="仿宋" w:eastAsia="仿宋"/>
          <w:sz w:val="28"/>
          <w:szCs w:val="28"/>
        </w:rPr>
        <w:t>其他重要事项的情况说明</w:t>
      </w:r>
      <w:r>
        <w:rPr>
          <w:rFonts w:hint="eastAsia" w:ascii="仿宋" w:hAnsi="仿宋" w:eastAsia="仿宋"/>
          <w:sz w:val="24"/>
        </w:rPr>
        <w:t xml:space="preserve">······································ </w:t>
      </w:r>
      <w:r>
        <w:rPr>
          <w:rFonts w:hint="eastAsia" w:ascii="仿宋" w:hAnsi="仿宋" w:eastAsia="仿宋"/>
          <w:sz w:val="24"/>
          <w:lang w:val="en-US" w:eastAsia="zh-CN"/>
        </w:rPr>
        <w:t>8</w:t>
      </w:r>
    </w:p>
    <w:p>
      <w:pPr>
        <w:pStyle w:val="11"/>
        <w:adjustRightInd w:val="0"/>
        <w:snapToGrid w:val="0"/>
        <w:spacing w:before="0" w:line="600" w:lineRule="exact"/>
        <w:jc w:val="left"/>
        <w:rPr>
          <w:rFonts w:hint="eastAsia" w:eastAsia="仿宋"/>
          <w:lang w:val="en-US" w:eastAsia="zh-CN"/>
        </w:rPr>
      </w:pPr>
      <w:r>
        <w:rPr>
          <w:rFonts w:hint="eastAsia"/>
        </w:rPr>
        <w:t>第三部分</w:t>
      </w:r>
      <w:r>
        <w:t xml:space="preserve"> </w:t>
      </w:r>
      <w:r>
        <w:rPr>
          <w:rFonts w:hint="eastAsia"/>
        </w:rPr>
        <w:t>名词解释</w:t>
      </w:r>
      <w:r>
        <w:rPr>
          <w:rFonts w:hint="eastAsia"/>
          <w:sz w:val="24"/>
          <w:szCs w:val="24"/>
        </w:rPr>
        <w:t xml:space="preserve">·············································· </w:t>
      </w:r>
      <w:r>
        <w:rPr>
          <w:rFonts w:hint="eastAsia"/>
          <w:sz w:val="24"/>
        </w:rPr>
        <w:t>1</w:t>
      </w:r>
      <w:r>
        <w:rPr>
          <w:rFonts w:hint="eastAsia"/>
          <w:sz w:val="24"/>
          <w:lang w:val="en-US" w:eastAsia="zh-CN"/>
        </w:rPr>
        <w:t>7</w:t>
      </w:r>
    </w:p>
    <w:p>
      <w:pPr>
        <w:pStyle w:val="11"/>
        <w:adjustRightInd w:val="0"/>
        <w:snapToGrid w:val="0"/>
        <w:spacing w:before="0" w:line="600" w:lineRule="exact"/>
        <w:jc w:val="left"/>
        <w:rPr>
          <w:rFonts w:hint="default" w:eastAsia="仿宋"/>
          <w:lang w:val="en-US" w:eastAsia="zh-CN"/>
        </w:rPr>
      </w:pPr>
      <w:r>
        <w:rPr>
          <w:rFonts w:hint="eastAsia"/>
        </w:rPr>
        <w:t>第四部分</w:t>
      </w:r>
      <w:r>
        <w:t xml:space="preserve"> </w:t>
      </w:r>
      <w:r>
        <w:rPr>
          <w:rFonts w:hint="eastAsia"/>
        </w:rPr>
        <w:t>附件</w:t>
      </w:r>
      <w:r>
        <w:rPr>
          <w:rFonts w:hint="eastAsia"/>
          <w:sz w:val="24"/>
          <w:szCs w:val="24"/>
        </w:rPr>
        <w:t xml:space="preserve">··················································· </w:t>
      </w:r>
      <w:r>
        <w:rPr>
          <w:rFonts w:hint="eastAsia"/>
          <w:sz w:val="24"/>
        </w:rPr>
        <w:t>1</w:t>
      </w:r>
      <w:r>
        <w:rPr>
          <w:rFonts w:hint="eastAsia"/>
          <w:sz w:val="24"/>
          <w:lang w:val="en-US" w:eastAsia="zh-CN"/>
        </w:rPr>
        <w:t>9</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4"/>
        </w:rPr>
        <w:t>···························································· 1</w:t>
      </w:r>
      <w:r>
        <w:rPr>
          <w:rFonts w:hint="eastAsia" w:ascii="仿宋" w:hAnsi="仿宋" w:eastAsia="仿宋"/>
          <w:sz w:val="24"/>
          <w:lang w:val="en-US" w:eastAsia="zh-CN"/>
        </w:rPr>
        <w:t>9</w:t>
      </w:r>
    </w:p>
    <w:p>
      <w:pPr>
        <w:pStyle w:val="11"/>
        <w:adjustRightInd w:val="0"/>
        <w:snapToGrid w:val="0"/>
        <w:spacing w:before="0" w:line="600" w:lineRule="exact"/>
        <w:jc w:val="left"/>
        <w:rPr>
          <w:rFonts w:hint="eastAsia" w:eastAsia="仿宋"/>
          <w:lang w:val="en-US" w:eastAsia="zh-CN"/>
        </w:rPr>
      </w:pPr>
      <w:r>
        <w:rPr>
          <w:rFonts w:hint="eastAsia"/>
        </w:rPr>
        <w:t>第五部分</w:t>
      </w:r>
      <w:r>
        <w:t xml:space="preserve"> </w:t>
      </w:r>
      <w:r>
        <w:rPr>
          <w:rFonts w:hint="eastAsia"/>
        </w:rPr>
        <w:t>附表</w:t>
      </w:r>
      <w:r>
        <w:rPr>
          <w:rFonts w:hint="eastAsia"/>
          <w:sz w:val="24"/>
          <w:szCs w:val="24"/>
        </w:rPr>
        <w:t xml:space="preserve">··················································· </w:t>
      </w:r>
      <w:r>
        <w:rPr>
          <w:rFonts w:hint="eastAsia"/>
          <w:sz w:val="24"/>
        </w:rPr>
        <w:t>2</w:t>
      </w:r>
      <w:r>
        <w:rPr>
          <w:rFonts w:hint="eastAsia"/>
          <w:sz w:val="24"/>
          <w:lang w:val="en-US" w:eastAsia="zh-CN"/>
        </w:rPr>
        <w:t>2</w:t>
      </w:r>
    </w:p>
    <w:p>
      <w:pPr>
        <w:pStyle w:val="12"/>
        <w:adjustRightInd w:val="0"/>
        <w:snapToGrid w:val="0"/>
        <w:spacing w:line="600" w:lineRule="exact"/>
        <w:ind w:left="0" w:leftChars="0"/>
        <w:jc w:val="left"/>
        <w:rPr>
          <w:rFonts w:hint="default" w:ascii="仿宋" w:hAnsi="仿宋" w:eastAsia="仿宋"/>
          <w:sz w:val="28"/>
          <w:szCs w:val="28"/>
          <w:lang w:val="en-US" w:eastAsia="zh-CN"/>
        </w:rPr>
      </w:pPr>
      <w:r>
        <w:rPr>
          <w:rFonts w:hint="eastAsia" w:ascii="仿宋" w:hAnsi="仿宋" w:eastAsia="仿宋"/>
          <w:sz w:val="28"/>
          <w:szCs w:val="28"/>
        </w:rPr>
        <w:t>一、收入支出决算总表</w:t>
      </w:r>
      <w:r>
        <w:rPr>
          <w:rFonts w:hint="eastAsia" w:ascii="仿宋" w:hAnsi="仿宋" w:eastAsia="仿宋"/>
          <w:sz w:val="24"/>
        </w:rPr>
        <w:t>············································ 2</w:t>
      </w:r>
      <w:r>
        <w:rPr>
          <w:rFonts w:hint="eastAsia" w:ascii="仿宋" w:hAnsi="仿宋" w:eastAsia="仿宋"/>
          <w:sz w:val="24"/>
          <w:lang w:val="en-US" w:eastAsia="zh-CN"/>
        </w:rPr>
        <w:t>3</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二、收入决算表</w:t>
      </w:r>
      <w:r>
        <w:rPr>
          <w:rFonts w:hint="eastAsia" w:ascii="仿宋" w:hAnsi="仿宋" w:eastAsia="仿宋"/>
          <w:sz w:val="24"/>
        </w:rPr>
        <w:t>··················································· 2</w:t>
      </w:r>
      <w:r>
        <w:rPr>
          <w:rFonts w:hint="eastAsia" w:ascii="仿宋" w:hAnsi="仿宋" w:eastAsia="仿宋"/>
          <w:sz w:val="24"/>
          <w:lang w:val="en-US" w:eastAsia="zh-CN"/>
        </w:rPr>
        <w:t>4</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三、支出决算表</w:t>
      </w:r>
      <w:r>
        <w:rPr>
          <w:rFonts w:hint="eastAsia" w:ascii="仿宋" w:hAnsi="仿宋" w:eastAsia="仿宋"/>
          <w:sz w:val="24"/>
        </w:rPr>
        <w:t>··················································· 2</w:t>
      </w:r>
      <w:r>
        <w:rPr>
          <w:rFonts w:hint="eastAsia" w:ascii="仿宋" w:hAnsi="仿宋" w:eastAsia="仿宋"/>
          <w:sz w:val="24"/>
          <w:lang w:val="en-US" w:eastAsia="zh-CN"/>
        </w:rPr>
        <w:t>5</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四、财政拨款收入支出决算总表</w:t>
      </w:r>
      <w:r>
        <w:rPr>
          <w:rFonts w:hint="eastAsia" w:ascii="仿宋" w:hAnsi="仿宋" w:eastAsia="仿宋"/>
          <w:sz w:val="24"/>
        </w:rPr>
        <w:t>·································· 2</w:t>
      </w:r>
      <w:r>
        <w:rPr>
          <w:rFonts w:hint="eastAsia" w:ascii="仿宋" w:hAnsi="仿宋" w:eastAsia="仿宋"/>
          <w:sz w:val="24"/>
          <w:lang w:val="en-US" w:eastAsia="zh-CN"/>
        </w:rPr>
        <w:t>6</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五、财政拨款支出决算明细表</w:t>
      </w:r>
      <w:r>
        <w:rPr>
          <w:rFonts w:hint="eastAsia" w:ascii="仿宋" w:hAnsi="仿宋" w:eastAsia="仿宋"/>
          <w:sz w:val="24"/>
        </w:rPr>
        <w:t>····································· 2</w:t>
      </w:r>
      <w:r>
        <w:rPr>
          <w:rFonts w:hint="eastAsia" w:ascii="仿宋" w:hAnsi="仿宋" w:eastAsia="仿宋"/>
          <w:sz w:val="24"/>
          <w:lang w:val="en-US" w:eastAsia="zh-CN"/>
        </w:rPr>
        <w:t>7</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六、一般公共预算财政拨款支出决算表</w:t>
      </w:r>
      <w:r>
        <w:rPr>
          <w:rFonts w:hint="eastAsia" w:ascii="仿宋" w:hAnsi="仿宋" w:eastAsia="仿宋"/>
          <w:sz w:val="24"/>
        </w:rPr>
        <w:t>··························· 2</w:t>
      </w:r>
      <w:r>
        <w:rPr>
          <w:rFonts w:hint="eastAsia" w:ascii="仿宋" w:hAnsi="仿宋" w:eastAsia="仿宋"/>
          <w:sz w:val="24"/>
          <w:lang w:val="en-US" w:eastAsia="zh-CN"/>
        </w:rPr>
        <w:t>8</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七、一般公共预算财政拨款支出决算明细表</w:t>
      </w:r>
      <w:r>
        <w:rPr>
          <w:rFonts w:hint="eastAsia" w:ascii="仿宋" w:hAnsi="仿宋" w:eastAsia="仿宋"/>
          <w:sz w:val="24"/>
        </w:rPr>
        <w:t>······················· 2</w:t>
      </w:r>
      <w:r>
        <w:rPr>
          <w:rFonts w:hint="eastAsia" w:ascii="仿宋" w:hAnsi="仿宋" w:eastAsia="仿宋"/>
          <w:sz w:val="24"/>
          <w:lang w:val="en-US" w:eastAsia="zh-CN"/>
        </w:rPr>
        <w:t>9</w:t>
      </w:r>
    </w:p>
    <w:p>
      <w:pPr>
        <w:pStyle w:val="12"/>
        <w:adjustRightInd w:val="0"/>
        <w:snapToGrid w:val="0"/>
        <w:spacing w:line="600" w:lineRule="exact"/>
        <w:ind w:left="0" w:leftChars="0"/>
        <w:jc w:val="left"/>
        <w:rPr>
          <w:rFonts w:hint="default" w:ascii="仿宋" w:hAnsi="仿宋" w:eastAsia="仿宋"/>
          <w:sz w:val="28"/>
          <w:szCs w:val="28"/>
          <w:lang w:val="en-US" w:eastAsia="zh-CN"/>
        </w:rPr>
      </w:pPr>
      <w:r>
        <w:rPr>
          <w:rFonts w:hint="eastAsia" w:ascii="仿宋" w:hAnsi="仿宋" w:eastAsia="仿宋"/>
          <w:sz w:val="28"/>
          <w:szCs w:val="28"/>
        </w:rPr>
        <w:t>八、一般公共预算财政拨款基本支出决算表</w:t>
      </w:r>
      <w:r>
        <w:rPr>
          <w:rFonts w:hint="eastAsia" w:ascii="仿宋" w:hAnsi="仿宋" w:eastAsia="仿宋"/>
          <w:sz w:val="24"/>
        </w:rPr>
        <w:t xml:space="preserve">······················· </w:t>
      </w:r>
      <w:r>
        <w:rPr>
          <w:rFonts w:hint="eastAsia" w:ascii="仿宋" w:hAnsi="仿宋" w:eastAsia="仿宋"/>
          <w:sz w:val="24"/>
          <w:lang w:val="en-US" w:eastAsia="zh-CN"/>
        </w:rPr>
        <w:t>30</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九、一般公共预算财政拨款项目支出决算表</w:t>
      </w:r>
      <w:r>
        <w:rPr>
          <w:rFonts w:hint="eastAsia" w:ascii="仿宋" w:hAnsi="仿宋" w:eastAsia="仿宋"/>
          <w:sz w:val="24"/>
        </w:rPr>
        <w:t>······················· 3</w:t>
      </w:r>
      <w:r>
        <w:rPr>
          <w:rFonts w:hint="eastAsia" w:ascii="仿宋" w:hAnsi="仿宋" w:eastAsia="仿宋"/>
          <w:sz w:val="24"/>
          <w:lang w:val="en-US" w:eastAsia="zh-CN"/>
        </w:rPr>
        <w:t>1</w:t>
      </w:r>
    </w:p>
    <w:p>
      <w:pPr>
        <w:pStyle w:val="12"/>
        <w:adjustRightInd w:val="0"/>
        <w:snapToGrid w:val="0"/>
        <w:spacing w:line="600" w:lineRule="exact"/>
        <w:ind w:left="0" w:leftChars="0"/>
        <w:jc w:val="left"/>
        <w:rPr>
          <w:rFonts w:hint="eastAsia" w:ascii="仿宋" w:hAnsi="仿宋" w:eastAsia="仿宋"/>
          <w:b/>
          <w:sz w:val="28"/>
          <w:szCs w:val="28"/>
          <w:lang w:val="en-US" w:eastAsia="zh-CN"/>
        </w:rPr>
      </w:pPr>
      <w:r>
        <w:rPr>
          <w:rFonts w:hint="eastAsia" w:ascii="仿宋" w:hAnsi="仿宋" w:eastAsia="仿宋"/>
          <w:sz w:val="28"/>
          <w:szCs w:val="28"/>
        </w:rPr>
        <w:t>十、一般公共预算财政拨款“三公”经费支出决算表</w:t>
      </w:r>
      <w:r>
        <w:rPr>
          <w:rFonts w:hint="eastAsia" w:ascii="仿宋" w:hAnsi="仿宋" w:eastAsia="仿宋"/>
          <w:sz w:val="24"/>
        </w:rPr>
        <w:t>················ 3</w:t>
      </w:r>
      <w:r>
        <w:rPr>
          <w:rFonts w:hint="eastAsia" w:ascii="仿宋" w:hAnsi="仿宋" w:eastAsia="仿宋"/>
          <w:sz w:val="24"/>
          <w:lang w:val="en-US" w:eastAsia="zh-CN"/>
        </w:rPr>
        <w:t>2</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十一、政府性基金预算财政拨款收入支出决算表</w:t>
      </w:r>
      <w:r>
        <w:rPr>
          <w:rFonts w:hint="eastAsia" w:ascii="仿宋" w:hAnsi="仿宋" w:eastAsia="仿宋"/>
          <w:sz w:val="24"/>
        </w:rPr>
        <w:t>·················· 3</w:t>
      </w:r>
      <w:r>
        <w:rPr>
          <w:rFonts w:hint="eastAsia" w:ascii="仿宋" w:hAnsi="仿宋" w:eastAsia="仿宋"/>
          <w:sz w:val="24"/>
          <w:lang w:val="en-US" w:eastAsia="zh-CN"/>
        </w:rPr>
        <w:t>3</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十二、政府性基金预算财政拨款“三公”经费支出决算表</w:t>
      </w:r>
      <w:r>
        <w:rPr>
          <w:rFonts w:hint="eastAsia" w:ascii="仿宋" w:hAnsi="仿宋" w:eastAsia="仿宋"/>
          <w:sz w:val="24"/>
        </w:rPr>
        <w:t>··········· 3</w:t>
      </w:r>
      <w:r>
        <w:rPr>
          <w:rFonts w:hint="eastAsia" w:ascii="仿宋" w:hAnsi="仿宋" w:eastAsia="仿宋"/>
          <w:sz w:val="24"/>
          <w:lang w:val="en-US" w:eastAsia="zh-CN"/>
        </w:rPr>
        <w:t>4</w:t>
      </w:r>
    </w:p>
    <w:p>
      <w:pPr>
        <w:pStyle w:val="12"/>
        <w:adjustRightInd w:val="0"/>
        <w:snapToGrid w:val="0"/>
        <w:spacing w:line="600" w:lineRule="exact"/>
        <w:ind w:left="0" w:leftChars="0"/>
        <w:jc w:val="left"/>
        <w:rPr>
          <w:rFonts w:hint="eastAsia" w:ascii="仿宋" w:hAnsi="仿宋" w:eastAsia="仿宋"/>
          <w:sz w:val="28"/>
          <w:szCs w:val="28"/>
          <w:lang w:val="en-US" w:eastAsia="zh-CN"/>
        </w:rPr>
      </w:pPr>
      <w:r>
        <w:rPr>
          <w:rFonts w:hint="eastAsia" w:ascii="仿宋" w:hAnsi="仿宋" w:eastAsia="仿宋"/>
          <w:sz w:val="28"/>
          <w:szCs w:val="28"/>
        </w:rPr>
        <w:t>十三、国有资本经营预算财政拨款收入支出决算表</w:t>
      </w:r>
      <w:r>
        <w:rPr>
          <w:rFonts w:hint="eastAsia" w:ascii="仿宋" w:hAnsi="仿宋" w:eastAsia="仿宋"/>
          <w:sz w:val="24"/>
        </w:rPr>
        <w:t>················ 3</w:t>
      </w:r>
      <w:r>
        <w:rPr>
          <w:rFonts w:hint="eastAsia" w:ascii="仿宋" w:hAnsi="仿宋" w:eastAsia="仿宋"/>
          <w:sz w:val="24"/>
          <w:lang w:val="en-US" w:eastAsia="zh-CN"/>
        </w:rPr>
        <w:t>5</w:t>
      </w:r>
    </w:p>
    <w:p>
      <w:pPr>
        <w:pStyle w:val="12"/>
        <w:adjustRightInd w:val="0"/>
        <w:snapToGrid w:val="0"/>
        <w:spacing w:line="600" w:lineRule="exact"/>
        <w:ind w:left="0" w:leftChars="0"/>
        <w:jc w:val="left"/>
        <w:rPr>
          <w:rFonts w:hint="eastAsia" w:ascii="仿宋" w:hAnsi="仿宋" w:eastAsia="仿宋"/>
          <w:b/>
          <w:sz w:val="24"/>
          <w:lang w:val="en-US" w:eastAsia="zh-CN"/>
        </w:rPr>
        <w:sectPr>
          <w:headerReference r:id="rId3" w:type="default"/>
          <w:footerReference r:id="rId4" w:type="default"/>
          <w:pgSz w:w="11906" w:h="16838"/>
          <w:pgMar w:top="1440" w:right="1800" w:bottom="1440" w:left="1800" w:header="851" w:footer="992" w:gutter="0"/>
          <w:pgNumType w:fmt="numberInDash" w:start="4" w:chapStyle="1"/>
          <w:cols w:space="720" w:num="1"/>
          <w:titlePg/>
          <w:docGrid w:type="lines" w:linePitch="312" w:charSpace="0"/>
        </w:sectPr>
      </w:pPr>
      <w:r>
        <w:rPr>
          <w:rFonts w:hint="eastAsia" w:ascii="仿宋" w:hAnsi="仿宋" w:eastAsia="仿宋"/>
          <w:sz w:val="28"/>
          <w:szCs w:val="28"/>
        </w:rPr>
        <w:t>十四、国有资本经营预算财政拨款支出决算表</w:t>
      </w:r>
      <w:r>
        <w:rPr>
          <w:rFonts w:hint="eastAsia" w:ascii="仿宋" w:hAnsi="仿宋" w:eastAsia="仿宋"/>
          <w:sz w:val="24"/>
        </w:rPr>
        <w:t>·</w:t>
      </w:r>
      <w:bookmarkStart w:id="12" w:name="_Toc15377196"/>
      <w:bookmarkStart w:id="13" w:name="_Toc15396599"/>
      <w:r>
        <w:rPr>
          <w:rFonts w:hint="eastAsia" w:ascii="仿宋" w:hAnsi="仿宋" w:eastAsia="仿宋"/>
          <w:sz w:val="24"/>
        </w:rPr>
        <w:t>··················· 3</w:t>
      </w:r>
      <w:r>
        <w:rPr>
          <w:rFonts w:hint="eastAsia" w:ascii="仿宋" w:hAnsi="仿宋" w:eastAsia="仿宋"/>
          <w:sz w:val="24"/>
          <w:lang w:val="en-US" w:eastAsia="zh-CN"/>
        </w:rPr>
        <w:t>6</w:t>
      </w:r>
    </w:p>
    <w:p>
      <w:pPr>
        <w:widowControl/>
        <w:spacing w:line="440" w:lineRule="exact"/>
        <w:jc w:val="center"/>
        <w:rPr>
          <w:rStyle w:val="19"/>
          <w:rFonts w:ascii="黑体" w:hAnsi="黑体" w:eastAsia="黑体"/>
          <w:b w:val="0"/>
        </w:rPr>
      </w:pPr>
      <w:r>
        <w:rPr>
          <w:rStyle w:val="19"/>
          <w:rFonts w:hint="eastAsia" w:ascii="黑体" w:hAnsi="黑体" w:eastAsia="黑体"/>
        </w:rPr>
        <w:t>第一部分</w:t>
      </w:r>
      <w:r>
        <w:rPr>
          <w:rStyle w:val="19"/>
          <w:rFonts w:ascii="黑体" w:hAnsi="黑体" w:eastAsia="黑体"/>
        </w:rPr>
        <w:t xml:space="preserve"> </w:t>
      </w:r>
      <w:r>
        <w:rPr>
          <w:rStyle w:val="19"/>
          <w:rFonts w:hint="eastAsia" w:ascii="黑体" w:hAnsi="黑体" w:eastAsia="黑体"/>
        </w:rPr>
        <w:t>部门概况</w:t>
      </w:r>
      <w:bookmarkEnd w:id="12"/>
      <w:bookmarkEnd w:id="13"/>
    </w:p>
    <w:p>
      <w:pPr>
        <w:widowControl/>
        <w:jc w:val="left"/>
        <w:rPr>
          <w:rFonts w:ascii="黑体" w:eastAsia="黑体"/>
          <w:color w:val="000000"/>
          <w:sz w:val="32"/>
          <w:szCs w:val="32"/>
        </w:rPr>
      </w:pPr>
    </w:p>
    <w:p>
      <w:pPr>
        <w:pStyle w:val="3"/>
        <w:spacing w:before="0" w:after="0" w:line="600" w:lineRule="exact"/>
        <w:ind w:firstLine="640" w:firstLineChars="200"/>
        <w:rPr>
          <w:rStyle w:val="20"/>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0"/>
          <w:rFonts w:hint="eastAsia" w:ascii="黑体" w:hAnsi="黑体" w:eastAsia="黑体"/>
          <w:b w:val="0"/>
          <w:bCs w:val="0"/>
        </w:rPr>
        <w:t>本职能及主要工作</w:t>
      </w:r>
      <w:bookmarkEnd w:id="14"/>
      <w:bookmarkEnd w:id="15"/>
    </w:p>
    <w:p>
      <w:pPr>
        <w:pStyle w:val="6"/>
        <w:adjustRightInd w:val="0"/>
        <w:snapToGrid w:val="0"/>
        <w:spacing w:beforeLines="0" w:line="600" w:lineRule="exact"/>
        <w:ind w:firstLine="640" w:firstLineChars="20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p>
      <w:pPr>
        <w:pStyle w:val="6"/>
        <w:adjustRightInd w:val="0"/>
        <w:snapToGrid w:val="0"/>
        <w:spacing w:beforeLines="0" w:line="600" w:lineRule="exact"/>
        <w:ind w:firstLine="640" w:firstLineChars="200"/>
        <w:outlineLvl w:val="2"/>
        <w:rPr>
          <w:rFonts w:ascii="仿宋" w:hAnsi="仿宋" w:eastAsia="仿宋"/>
          <w:color w:val="000000"/>
          <w:sz w:val="32"/>
          <w:szCs w:val="32"/>
        </w:rPr>
      </w:pPr>
      <w:r>
        <w:rPr>
          <w:rFonts w:hint="eastAsia" w:ascii="仿宋" w:hAnsi="仿宋" w:eastAsia="仿宋"/>
          <w:color w:val="000000"/>
          <w:sz w:val="32"/>
          <w:szCs w:val="32"/>
        </w:rPr>
        <w:t>巴中市无偿献血工作领导小组办公室是为无偿献血服务的公益单位，是财政全额预算的事业单位，是市卫生健康委员会直属的二级预算单位。</w:t>
      </w:r>
      <w:bookmarkEnd w:id="16"/>
      <w:bookmarkEnd w:id="17"/>
      <w:bookmarkStart w:id="18" w:name="_Toc15378446"/>
      <w:bookmarkStart w:id="19" w:name="_Toc15377199"/>
    </w:p>
    <w:p>
      <w:pPr>
        <w:pStyle w:val="6"/>
        <w:adjustRightInd w:val="0"/>
        <w:snapToGrid w:val="0"/>
        <w:spacing w:beforeLines="0" w:line="600" w:lineRule="exact"/>
        <w:ind w:firstLine="640" w:firstLineChars="20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8"/>
      <w:bookmarkEnd w:id="19"/>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rPr>
        <w:t>2020年度各项工作将以党建为引领。确保全市无偿献血工作顺利开展。无偿献血宣传招募到位，落实到乡镇及村。保障公民权益，为无偿献血者提供服务，服务到每一位献血者与用血退费者。</w:t>
      </w:r>
    </w:p>
    <w:p>
      <w:pPr>
        <w:pStyle w:val="3"/>
        <w:spacing w:before="0" w:after="0" w:line="600" w:lineRule="exact"/>
        <w:ind w:firstLine="640" w:firstLineChars="200"/>
        <w:rPr>
          <w:rStyle w:val="20"/>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0"/>
          <w:rFonts w:hint="eastAsia" w:ascii="黑体" w:hAnsi="黑体" w:eastAsia="黑体"/>
          <w:b w:val="0"/>
          <w:bCs w:val="0"/>
        </w:rPr>
        <w:t>构设置</w:t>
      </w:r>
      <w:bookmarkEnd w:id="20"/>
      <w:bookmarkEnd w:id="21"/>
    </w:p>
    <w:p>
      <w:pPr>
        <w:spacing w:line="600" w:lineRule="exact"/>
        <w:ind w:firstLine="640" w:firstLineChars="200"/>
        <w:rPr>
          <w:rFonts w:ascii="仿宋" w:hAnsi="仿宋" w:eastAsia="仿宋"/>
          <w:color w:val="000000"/>
          <w:sz w:val="32"/>
          <w:szCs w:val="32"/>
        </w:rPr>
      </w:pPr>
      <w:bookmarkStart w:id="22" w:name="_Toc15378448"/>
      <w:bookmarkStart w:id="23" w:name="_Toc15306275"/>
      <w:bookmarkStart w:id="24" w:name="_Toc15377201"/>
      <w:bookmarkStart w:id="25" w:name="_Toc15377432"/>
      <w:r>
        <w:rPr>
          <w:rFonts w:hint="eastAsia" w:ascii="仿宋" w:hAnsi="仿宋" w:eastAsia="仿宋"/>
          <w:color w:val="000000"/>
          <w:sz w:val="32"/>
          <w:szCs w:val="32"/>
        </w:rPr>
        <w:t>巴中市无偿献血工作领导小组办公室是巴中市卫生健康委员会下属二级预算单位。下属二级单位0个，其中行政单位0个，参照公务员法管理的事业单位</w:t>
      </w:r>
      <w:r>
        <w:rPr>
          <w:rFonts w:hint="eastAsia" w:ascii="仿宋" w:hAnsi="仿宋" w:eastAsia="仿宋"/>
          <w:bCs/>
          <w:color w:val="000000"/>
          <w:sz w:val="32"/>
          <w:szCs w:val="32"/>
        </w:rPr>
        <w:t>0</w:t>
      </w:r>
      <w:r>
        <w:rPr>
          <w:rFonts w:hint="eastAsia" w:ascii="仿宋" w:hAnsi="仿宋" w:eastAsia="仿宋"/>
          <w:color w:val="000000"/>
          <w:sz w:val="32"/>
          <w:szCs w:val="32"/>
        </w:rPr>
        <w:t>个，其他事业单位0个。</w:t>
      </w:r>
    </w:p>
    <w:p>
      <w:pPr>
        <w:pStyle w:val="6"/>
        <w:adjustRightInd w:val="0"/>
        <w:snapToGrid w:val="0"/>
        <w:spacing w:beforeLines="0"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纳入2019年度部门决算编制范围的二级预算单位包括0个。</w:t>
      </w:r>
    </w:p>
    <w:p>
      <w:pPr>
        <w:pStyle w:val="6"/>
        <w:adjustRightInd w:val="0"/>
        <w:snapToGrid w:val="0"/>
        <w:spacing w:beforeLines="0" w:line="600" w:lineRule="exact"/>
        <w:ind w:firstLine="640" w:firstLineChars="200"/>
        <w:rPr>
          <w:rFonts w:ascii="仿宋" w:hAnsi="仿宋" w:eastAsia="仿宋"/>
          <w:color w:val="000000"/>
          <w:sz w:val="32"/>
          <w:szCs w:val="32"/>
        </w:rPr>
      </w:pPr>
    </w:p>
    <w:p>
      <w:pPr>
        <w:pStyle w:val="6"/>
        <w:adjustRightInd w:val="0"/>
        <w:snapToGrid w:val="0"/>
        <w:spacing w:beforeLines="0" w:line="600" w:lineRule="exact"/>
        <w:ind w:firstLine="640" w:firstLineChars="200"/>
        <w:rPr>
          <w:rFonts w:ascii="仿宋" w:hAnsi="仿宋" w:eastAsia="仿宋"/>
          <w:color w:val="000000"/>
          <w:sz w:val="32"/>
          <w:szCs w:val="32"/>
        </w:rPr>
      </w:pPr>
    </w:p>
    <w:p>
      <w:pPr>
        <w:pStyle w:val="6"/>
        <w:adjustRightInd w:val="0"/>
        <w:snapToGrid w:val="0"/>
        <w:spacing w:beforeLines="0" w:line="600" w:lineRule="exact"/>
        <w:ind w:firstLine="640" w:firstLineChars="200"/>
        <w:rPr>
          <w:rFonts w:ascii="仿宋" w:hAnsi="仿宋" w:eastAsia="仿宋"/>
          <w:color w:val="000000"/>
          <w:sz w:val="32"/>
          <w:szCs w:val="32"/>
        </w:rPr>
      </w:pPr>
    </w:p>
    <w:p>
      <w:pPr>
        <w:pStyle w:val="6"/>
        <w:adjustRightInd w:val="0"/>
        <w:snapToGrid w:val="0"/>
        <w:spacing w:beforeLines="0" w:line="600" w:lineRule="exact"/>
        <w:ind w:firstLine="640" w:firstLineChars="200"/>
        <w:rPr>
          <w:rFonts w:ascii="仿宋" w:hAnsi="仿宋" w:eastAsia="仿宋"/>
          <w:color w:val="000000"/>
          <w:sz w:val="32"/>
          <w:szCs w:val="32"/>
        </w:rPr>
      </w:pPr>
    </w:p>
    <w:bookmarkEnd w:id="22"/>
    <w:bookmarkEnd w:id="23"/>
    <w:bookmarkEnd w:id="24"/>
    <w:bookmarkEnd w:id="25"/>
    <w:p>
      <w:pPr>
        <w:pStyle w:val="2"/>
        <w:spacing w:before="0" w:after="0" w:line="600" w:lineRule="exact"/>
        <w:jc w:val="center"/>
        <w:rPr>
          <w:rStyle w:val="19"/>
          <w:rFonts w:ascii="黑体" w:hAnsi="黑体" w:eastAsia="黑体"/>
          <w:b w:val="0"/>
          <w:bCs w:val="0"/>
        </w:rPr>
      </w:pPr>
      <w:bookmarkStart w:id="26" w:name="_Toc15377204"/>
      <w:bookmarkStart w:id="27" w:name="_Toc15396602"/>
      <w:r>
        <w:rPr>
          <w:rFonts w:hint="eastAsia" w:ascii="黑体" w:hAnsi="黑体" w:eastAsia="黑体"/>
          <w:color w:val="000000"/>
        </w:rPr>
        <w:t>第二部分</w:t>
      </w:r>
      <w:r>
        <w:rPr>
          <w:rFonts w:ascii="黑体" w:hAnsi="黑体" w:eastAsia="黑体"/>
          <w:color w:val="000000"/>
        </w:rPr>
        <w:t xml:space="preserve"> </w:t>
      </w:r>
      <w:r>
        <w:rPr>
          <w:rStyle w:val="19"/>
          <w:rFonts w:ascii="黑体" w:hAnsi="黑体" w:eastAsia="黑体"/>
          <w:b w:val="0"/>
          <w:bCs w:val="0"/>
        </w:rPr>
        <w:t>2020</w:t>
      </w:r>
      <w:r>
        <w:rPr>
          <w:rStyle w:val="19"/>
          <w:rFonts w:hint="eastAsia" w:ascii="黑体" w:hAnsi="黑体" w:eastAsia="黑体"/>
          <w:b w:val="0"/>
          <w:bCs w:val="0"/>
        </w:rPr>
        <w:t>年度部门决算情况说明</w:t>
      </w:r>
      <w:bookmarkEnd w:id="26"/>
      <w:bookmarkEnd w:id="27"/>
    </w:p>
    <w:p>
      <w:pPr>
        <w:spacing w:line="600" w:lineRule="exact"/>
        <w:ind w:firstLine="420" w:firstLineChars="200"/>
      </w:pPr>
    </w:p>
    <w:p>
      <w:pPr>
        <w:pStyle w:val="28"/>
        <w:spacing w:line="600" w:lineRule="exact"/>
        <w:ind w:firstLine="566" w:firstLineChars="177"/>
        <w:outlineLvl w:val="1"/>
        <w:rPr>
          <w:rStyle w:val="20"/>
          <w:rFonts w:ascii="黑体" w:hAnsi="黑体" w:eastAsia="黑体"/>
          <w:b w:val="0"/>
        </w:rPr>
      </w:pPr>
      <w:bookmarkStart w:id="28" w:name="_Toc15396603"/>
      <w:bookmarkStart w:id="29" w:name="_Toc15377205"/>
      <w:r>
        <w:rPr>
          <w:rFonts w:hint="eastAsia" w:ascii="黑体" w:hAnsi="黑体" w:eastAsia="黑体"/>
          <w:color w:val="000000"/>
          <w:sz w:val="32"/>
          <w:szCs w:val="32"/>
        </w:rPr>
        <w:t>一、收</w:t>
      </w:r>
      <w:r>
        <w:rPr>
          <w:rStyle w:val="20"/>
          <w:rFonts w:hint="eastAsia" w:ascii="黑体" w:hAnsi="黑体" w:eastAsia="黑体"/>
        </w:rPr>
        <w:t>入支出决算总体情况说明</w:t>
      </w:r>
      <w:bookmarkEnd w:id="28"/>
      <w:bookmarkEnd w:id="29"/>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年度收入总计816万元。与</w:t>
      </w:r>
      <w:r>
        <w:rPr>
          <w:rFonts w:ascii="仿宋" w:hAnsi="仿宋" w:eastAsia="仿宋"/>
          <w:color w:val="000000"/>
          <w:sz w:val="32"/>
          <w:szCs w:val="32"/>
        </w:rPr>
        <w:t>2019</w:t>
      </w:r>
      <w:r>
        <w:rPr>
          <w:rFonts w:hint="eastAsia" w:ascii="仿宋" w:hAnsi="仿宋" w:eastAsia="仿宋"/>
          <w:color w:val="000000"/>
          <w:sz w:val="32"/>
          <w:szCs w:val="32"/>
        </w:rPr>
        <w:t>年相比，收入总计增加400万元，增长96</w:t>
      </w:r>
      <w:r>
        <w:rPr>
          <w:rFonts w:ascii="仿宋" w:hAnsi="仿宋" w:eastAsia="仿宋"/>
          <w:color w:val="000000"/>
          <w:sz w:val="32"/>
          <w:szCs w:val="32"/>
        </w:rPr>
        <w:t>%</w:t>
      </w:r>
      <w:r>
        <w:rPr>
          <w:rFonts w:hint="eastAsia" w:ascii="仿宋" w:hAnsi="仿宋" w:eastAsia="仿宋"/>
          <w:color w:val="000000"/>
          <w:sz w:val="32"/>
          <w:szCs w:val="32"/>
        </w:rPr>
        <w:t>。2020年度支出总计440万元，结余376万元。主要变动原因是无偿献血用血退费增加。</w:t>
      </w: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274310" cy="3333750"/>
            <wp:effectExtent l="19050" t="0" r="2159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1</w:t>
      </w:r>
      <w:r>
        <w:rPr>
          <w:rFonts w:hint="eastAsia" w:ascii="黑体" w:hAnsi="黑体" w:eastAsia="黑体"/>
          <w:color w:val="000000"/>
          <w:sz w:val="32"/>
          <w:szCs w:val="32"/>
        </w:rPr>
        <w:t>：收、支决算总计变动情况图</w:t>
      </w:r>
    </w:p>
    <w:p>
      <w:pPr>
        <w:pStyle w:val="28"/>
        <w:spacing w:line="600" w:lineRule="exact"/>
        <w:ind w:firstLine="566" w:firstLineChars="177"/>
        <w:outlineLvl w:val="1"/>
        <w:rPr>
          <w:rStyle w:val="20"/>
          <w:rFonts w:ascii="黑体" w:hAnsi="黑体" w:eastAsia="黑体"/>
          <w:b w:val="0"/>
        </w:rPr>
      </w:pPr>
      <w:bookmarkStart w:id="30" w:name="_Toc15396604"/>
      <w:bookmarkStart w:id="31" w:name="_Toc15377206"/>
      <w:r>
        <w:rPr>
          <w:rFonts w:hint="eastAsia" w:ascii="黑体" w:hAnsi="黑体" w:eastAsia="黑体"/>
          <w:color w:val="000000"/>
          <w:sz w:val="32"/>
          <w:szCs w:val="32"/>
        </w:rPr>
        <w:t>二、收</w:t>
      </w:r>
      <w:r>
        <w:rPr>
          <w:rStyle w:val="20"/>
          <w:rFonts w:hint="eastAsia" w:ascii="黑体" w:hAnsi="黑体" w:eastAsia="黑体"/>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年本年收入合计816万元，其中：一般公共预算财政拨款收入816万元，占100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8"/>
        <w:spacing w:line="600" w:lineRule="exact"/>
        <w:ind w:firstLine="566" w:firstLineChars="177"/>
        <w:outlineLvl w:val="1"/>
        <w:rPr>
          <w:rFonts w:hint="eastAsia" w:ascii="黑体" w:hAnsi="黑体" w:eastAsia="黑体"/>
          <w:color w:val="000000"/>
          <w:sz w:val="32"/>
          <w:szCs w:val="32"/>
        </w:rPr>
      </w:pPr>
      <w:bookmarkStart w:id="32" w:name="_Toc15377207"/>
      <w:bookmarkStart w:id="33" w:name="_Toc15396605"/>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381000</wp:posOffset>
            </wp:positionV>
            <wp:extent cx="5274310" cy="2676525"/>
            <wp:effectExtent l="19050" t="0" r="2159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2</w:t>
      </w:r>
      <w:r>
        <w:rPr>
          <w:rFonts w:hint="eastAsia" w:ascii="黑体" w:hAnsi="黑体" w:eastAsia="黑体"/>
          <w:color w:val="000000"/>
          <w:sz w:val="32"/>
          <w:szCs w:val="32"/>
        </w:rPr>
        <w:t>：收入决算结构图</w:t>
      </w:r>
    </w:p>
    <w:p>
      <w:pPr>
        <w:pStyle w:val="28"/>
        <w:spacing w:line="600" w:lineRule="exact"/>
        <w:ind w:firstLine="566" w:firstLineChars="177"/>
        <w:outlineLvl w:val="1"/>
        <w:rPr>
          <w:rStyle w:val="20"/>
          <w:rFonts w:ascii="黑体" w:hAnsi="黑体" w:eastAsia="黑体"/>
          <w:b w:val="0"/>
        </w:rPr>
      </w:pPr>
      <w:r>
        <w:rPr>
          <w:rFonts w:hint="eastAsia" w:ascii="黑体" w:hAnsi="黑体" w:eastAsia="黑体"/>
          <w:color w:val="000000"/>
          <w:sz w:val="32"/>
          <w:szCs w:val="32"/>
        </w:rPr>
        <w:t>三、支</w:t>
      </w:r>
      <w:r>
        <w:rPr>
          <w:rStyle w:val="20"/>
          <w:rFonts w:hint="eastAsia" w:ascii="黑体" w:hAnsi="黑体" w:eastAsia="黑体"/>
        </w:rPr>
        <w:t>出决算情况说明</w:t>
      </w:r>
      <w:bookmarkEnd w:id="32"/>
      <w:bookmarkEnd w:id="33"/>
    </w:p>
    <w:p>
      <w:pPr>
        <w:spacing w:line="600" w:lineRule="exact"/>
        <w:ind w:firstLine="600" w:firstLineChars="200"/>
        <w:outlineLvl w:val="1"/>
        <w:rPr>
          <w:rFonts w:hint="eastAsia" w:ascii="仿宋" w:hAnsi="仿宋" w:eastAsia="仿宋"/>
          <w:color w:val="000000"/>
          <w:spacing w:val="-10"/>
          <w:sz w:val="32"/>
          <w:szCs w:val="32"/>
        </w:rPr>
      </w:pPr>
      <w:r>
        <w:rPr>
          <w:rFonts w:ascii="仿宋" w:hAnsi="仿宋" w:eastAsia="仿宋"/>
          <w:color w:val="000000"/>
          <w:spacing w:val="-10"/>
          <w:sz w:val="32"/>
          <w:szCs w:val="32"/>
        </w:rPr>
        <w:t>2020</w:t>
      </w:r>
      <w:r>
        <w:rPr>
          <w:rFonts w:hint="eastAsia" w:ascii="仿宋" w:hAnsi="仿宋" w:eastAsia="仿宋"/>
          <w:color w:val="000000"/>
          <w:spacing w:val="-10"/>
          <w:sz w:val="32"/>
          <w:szCs w:val="32"/>
        </w:rPr>
        <w:t>年本年支出合计440万元，其中：基本支出0万元，占0</w:t>
      </w:r>
      <w:r>
        <w:rPr>
          <w:rFonts w:ascii="仿宋" w:hAnsi="仿宋" w:eastAsia="仿宋"/>
          <w:color w:val="000000"/>
          <w:spacing w:val="-10"/>
          <w:sz w:val="32"/>
          <w:szCs w:val="32"/>
        </w:rPr>
        <w:t>%</w:t>
      </w:r>
      <w:r>
        <w:rPr>
          <w:rFonts w:hint="eastAsia" w:ascii="仿宋" w:hAnsi="仿宋" w:eastAsia="仿宋"/>
          <w:color w:val="000000"/>
          <w:spacing w:val="-10"/>
          <w:sz w:val="32"/>
          <w:szCs w:val="32"/>
        </w:rPr>
        <w:t>；项目支出440万元，占0</w:t>
      </w:r>
      <w:r>
        <w:rPr>
          <w:rFonts w:ascii="仿宋" w:hAnsi="仿宋" w:eastAsia="仿宋"/>
          <w:color w:val="000000"/>
          <w:spacing w:val="-10"/>
          <w:sz w:val="32"/>
          <w:szCs w:val="32"/>
        </w:rPr>
        <w:t>%</w:t>
      </w:r>
      <w:r>
        <w:rPr>
          <w:rFonts w:hint="eastAsia" w:ascii="仿宋" w:hAnsi="仿宋" w:eastAsia="仿宋"/>
          <w:color w:val="000000"/>
          <w:spacing w:val="-10"/>
          <w:sz w:val="32"/>
          <w:szCs w:val="32"/>
        </w:rPr>
        <w:t>；上缴上级支出0万元，占0</w:t>
      </w:r>
      <w:r>
        <w:rPr>
          <w:rFonts w:ascii="仿宋" w:hAnsi="仿宋" w:eastAsia="仿宋"/>
          <w:color w:val="000000"/>
          <w:spacing w:val="-10"/>
          <w:sz w:val="32"/>
          <w:szCs w:val="32"/>
        </w:rPr>
        <w:t>%</w:t>
      </w:r>
      <w:r>
        <w:rPr>
          <w:rFonts w:hint="eastAsia" w:ascii="仿宋" w:hAnsi="仿宋" w:eastAsia="仿宋"/>
          <w:color w:val="000000"/>
          <w:spacing w:val="-10"/>
          <w:sz w:val="32"/>
          <w:szCs w:val="32"/>
        </w:rPr>
        <w:t>；经营支出0万元，占0</w:t>
      </w:r>
      <w:r>
        <w:rPr>
          <w:rFonts w:ascii="仿宋" w:hAnsi="仿宋" w:eastAsia="仿宋"/>
          <w:color w:val="000000"/>
          <w:spacing w:val="-10"/>
          <w:sz w:val="32"/>
          <w:szCs w:val="32"/>
        </w:rPr>
        <w:t>%</w:t>
      </w:r>
      <w:r>
        <w:rPr>
          <w:rFonts w:hint="eastAsia" w:ascii="仿宋" w:hAnsi="仿宋" w:eastAsia="仿宋"/>
          <w:color w:val="000000"/>
          <w:spacing w:val="-10"/>
          <w:sz w:val="32"/>
          <w:szCs w:val="32"/>
        </w:rPr>
        <w:t>；对附属单位补助支出0万元，占0</w:t>
      </w:r>
      <w:r>
        <w:rPr>
          <w:rFonts w:ascii="仿宋" w:hAnsi="仿宋" w:eastAsia="仿宋"/>
          <w:color w:val="000000"/>
          <w:spacing w:val="-10"/>
          <w:sz w:val="32"/>
          <w:szCs w:val="32"/>
        </w:rPr>
        <w:t>%</w:t>
      </w:r>
      <w:r>
        <w:rPr>
          <w:rFonts w:hint="eastAsia" w:ascii="仿宋" w:hAnsi="仿宋" w:eastAsia="仿宋"/>
          <w:color w:val="000000"/>
          <w:spacing w:val="-10"/>
          <w:sz w:val="32"/>
          <w:szCs w:val="32"/>
        </w:rPr>
        <w:t>。</w:t>
      </w: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drawing>
          <wp:anchor distT="0" distB="0" distL="114300" distR="114300" simplePos="0" relativeHeight="251661312" behindDoc="0" locked="0" layoutInCell="1" allowOverlap="1">
            <wp:simplePos x="0" y="0"/>
            <wp:positionH relativeFrom="column">
              <wp:posOffset>0</wp:posOffset>
            </wp:positionH>
            <wp:positionV relativeFrom="paragraph">
              <wp:posOffset>495300</wp:posOffset>
            </wp:positionV>
            <wp:extent cx="5274310" cy="2466975"/>
            <wp:effectExtent l="19050" t="0" r="21590"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3</w:t>
      </w:r>
      <w:r>
        <w:rPr>
          <w:rFonts w:hint="eastAsia" w:ascii="黑体" w:hAnsi="黑体" w:eastAsia="黑体"/>
          <w:color w:val="000000"/>
          <w:sz w:val="32"/>
          <w:szCs w:val="32"/>
        </w:rPr>
        <w:t>：支出决算结构图</w:t>
      </w:r>
    </w:p>
    <w:p>
      <w:pPr>
        <w:spacing w:line="600" w:lineRule="exact"/>
        <w:ind w:firstLine="566" w:firstLineChars="177"/>
        <w:outlineLvl w:val="1"/>
        <w:rPr>
          <w:rStyle w:val="20"/>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20"/>
          <w:rFonts w:hint="eastAsia" w:ascii="黑体" w:hAnsi="黑体" w:eastAsia="黑体"/>
        </w:rPr>
        <w:t>政拨款收入支出决算总体情况说明</w:t>
      </w:r>
      <w:bookmarkEnd w:id="34"/>
      <w:bookmarkEnd w:id="35"/>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年度收入总计816万元。与</w:t>
      </w:r>
      <w:r>
        <w:rPr>
          <w:rFonts w:ascii="仿宋" w:hAnsi="仿宋" w:eastAsia="仿宋"/>
          <w:color w:val="000000"/>
          <w:sz w:val="32"/>
          <w:szCs w:val="32"/>
        </w:rPr>
        <w:t>2019</w:t>
      </w:r>
      <w:r>
        <w:rPr>
          <w:rFonts w:hint="eastAsia" w:ascii="仿宋" w:hAnsi="仿宋" w:eastAsia="仿宋"/>
          <w:color w:val="000000"/>
          <w:sz w:val="32"/>
          <w:szCs w:val="32"/>
        </w:rPr>
        <w:t>年相比，收入总计增加400万元，增长96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2020年度收入总计816万元,支出总计440万元，结余376万元。主要变动原因一是无偿献血退费增加，二是指标下达晚于关账时间。</w:t>
      </w: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drawing>
          <wp:anchor distT="0" distB="0" distL="114300" distR="114300" simplePos="0" relativeHeight="251662336" behindDoc="0" locked="0" layoutInCell="1" allowOverlap="1">
            <wp:simplePos x="0" y="0"/>
            <wp:positionH relativeFrom="column">
              <wp:posOffset>152400</wp:posOffset>
            </wp:positionH>
            <wp:positionV relativeFrom="paragraph">
              <wp:posOffset>485775</wp:posOffset>
            </wp:positionV>
            <wp:extent cx="5274310" cy="2247900"/>
            <wp:effectExtent l="19050" t="0" r="21590" b="0"/>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4</w:t>
      </w:r>
      <w:r>
        <w:rPr>
          <w:rFonts w:hint="eastAsia" w:ascii="黑体" w:hAnsi="黑体" w:eastAsia="黑体"/>
          <w:color w:val="000000"/>
          <w:sz w:val="32"/>
          <w:szCs w:val="32"/>
        </w:rPr>
        <w:t>：财政拨款收、支决算总计变动情况</w:t>
      </w:r>
    </w:p>
    <w:p>
      <w:pPr>
        <w:spacing w:line="600" w:lineRule="exact"/>
        <w:ind w:firstLine="566" w:firstLineChars="177"/>
        <w:outlineLvl w:val="1"/>
        <w:rPr>
          <w:rStyle w:val="20"/>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16" w:firstLineChars="200"/>
        <w:rPr>
          <w:rFonts w:ascii="仿宋" w:hAnsi="仿宋" w:eastAsia="仿宋"/>
          <w:color w:val="000000"/>
          <w:spacing w:val="-6"/>
          <w:sz w:val="32"/>
          <w:szCs w:val="32"/>
        </w:rPr>
      </w:pPr>
      <w:r>
        <w:rPr>
          <w:rFonts w:ascii="仿宋" w:hAnsi="仿宋" w:eastAsia="仿宋"/>
          <w:color w:val="000000"/>
          <w:spacing w:val="-6"/>
          <w:sz w:val="32"/>
          <w:szCs w:val="32"/>
        </w:rPr>
        <w:t>2020</w:t>
      </w:r>
      <w:r>
        <w:rPr>
          <w:rFonts w:hint="eastAsia" w:ascii="仿宋" w:hAnsi="仿宋" w:eastAsia="仿宋"/>
          <w:color w:val="000000"/>
          <w:spacing w:val="-6"/>
          <w:sz w:val="32"/>
          <w:szCs w:val="32"/>
        </w:rPr>
        <w:t>年一般公共预算财政拨款支出440万元，占本年支出合计的54</w:t>
      </w:r>
      <w:r>
        <w:rPr>
          <w:rFonts w:ascii="仿宋" w:hAnsi="仿宋" w:eastAsia="仿宋"/>
          <w:color w:val="000000"/>
          <w:spacing w:val="-6"/>
          <w:sz w:val="32"/>
          <w:szCs w:val="32"/>
        </w:rPr>
        <w:t>%</w:t>
      </w:r>
      <w:r>
        <w:rPr>
          <w:rFonts w:hint="eastAsia" w:ascii="仿宋" w:hAnsi="仿宋" w:eastAsia="仿宋"/>
          <w:color w:val="000000"/>
          <w:spacing w:val="-6"/>
          <w:sz w:val="32"/>
          <w:szCs w:val="32"/>
        </w:rPr>
        <w:t>。与</w:t>
      </w:r>
      <w:r>
        <w:rPr>
          <w:rFonts w:ascii="仿宋" w:hAnsi="仿宋" w:eastAsia="仿宋"/>
          <w:color w:val="000000"/>
          <w:spacing w:val="-6"/>
          <w:sz w:val="32"/>
          <w:szCs w:val="32"/>
        </w:rPr>
        <w:t>2019</w:t>
      </w:r>
      <w:r>
        <w:rPr>
          <w:rFonts w:hint="eastAsia" w:ascii="仿宋" w:hAnsi="仿宋" w:eastAsia="仿宋"/>
          <w:color w:val="000000"/>
          <w:spacing w:val="-6"/>
          <w:sz w:val="32"/>
          <w:szCs w:val="32"/>
        </w:rPr>
        <w:t>年相比，一般公共预算财政拨款支出增加24万元，增长5.8</w:t>
      </w:r>
      <w:r>
        <w:rPr>
          <w:rFonts w:ascii="仿宋" w:hAnsi="仿宋" w:eastAsia="仿宋"/>
          <w:color w:val="000000"/>
          <w:spacing w:val="-6"/>
          <w:sz w:val="32"/>
          <w:szCs w:val="32"/>
        </w:rPr>
        <w:t>%</w:t>
      </w:r>
      <w:r>
        <w:rPr>
          <w:rFonts w:hint="eastAsia" w:ascii="仿宋" w:hAnsi="仿宋" w:eastAsia="仿宋"/>
          <w:color w:val="000000"/>
          <w:spacing w:val="-6"/>
          <w:sz w:val="32"/>
          <w:szCs w:val="32"/>
        </w:rPr>
        <w:t>。主要变动原因是无偿献血用血退费增加。</w:t>
      </w:r>
    </w:p>
    <w:p>
      <w:pPr>
        <w:spacing w:line="600" w:lineRule="exact"/>
        <w:jc w:val="center"/>
        <w:rPr>
          <w:rFonts w:hint="eastAsia" w:ascii="黑体" w:hAnsi="黑体" w:eastAsia="黑体"/>
          <w:color w:val="000000"/>
          <w:sz w:val="32"/>
          <w:szCs w:val="32"/>
        </w:rPr>
      </w:pPr>
      <w:bookmarkStart w:id="39" w:name="_Toc15377211"/>
      <w:r>
        <w:rPr>
          <w:rFonts w:hint="eastAsia" w:ascii="黑体" w:hAnsi="黑体" w:eastAsia="黑体"/>
          <w:color w:val="000000"/>
          <w:sz w:val="32"/>
          <w:szCs w:val="32"/>
        </w:rPr>
        <w:drawing>
          <wp:anchor distT="0" distB="0" distL="114300" distR="114300" simplePos="0" relativeHeight="251663360" behindDoc="0" locked="0" layoutInCell="1" allowOverlap="1">
            <wp:simplePos x="0" y="0"/>
            <wp:positionH relativeFrom="column">
              <wp:posOffset>0</wp:posOffset>
            </wp:positionH>
            <wp:positionV relativeFrom="paragraph">
              <wp:posOffset>381000</wp:posOffset>
            </wp:positionV>
            <wp:extent cx="5274310" cy="2514600"/>
            <wp:effectExtent l="19050" t="0" r="2159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5</w:t>
      </w:r>
      <w:r>
        <w:rPr>
          <w:rFonts w:hint="eastAsia" w:ascii="黑体" w:hAnsi="黑体" w:eastAsia="黑体"/>
          <w:color w:val="000000"/>
          <w:sz w:val="32"/>
          <w:szCs w:val="32"/>
        </w:rPr>
        <w:t>：一般公共预算财政拨款支出决算变动情况</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年一般公共预算财政拨款支出440万元，主要用于以下方面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w:t>
      </w:r>
      <w:r>
        <w:rPr>
          <w:rFonts w:ascii="仿宋" w:hAnsi="仿宋" w:eastAsia="仿宋"/>
          <w:color w:val="000000"/>
          <w:sz w:val="32"/>
          <w:szCs w:val="32"/>
        </w:rPr>
        <w:t>*</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440万元，占100</w:t>
      </w:r>
      <w:r>
        <w:rPr>
          <w:rFonts w:ascii="仿宋" w:hAnsi="仿宋" w:eastAsia="仿宋"/>
          <w:color w:val="000000"/>
          <w:sz w:val="32"/>
          <w:szCs w:val="32"/>
        </w:rPr>
        <w:t>%</w:t>
      </w:r>
      <w:r>
        <w:rPr>
          <w:rFonts w:hint="eastAsia" w:ascii="仿宋" w:hAnsi="仿宋" w:eastAsia="仿宋"/>
          <w:color w:val="000000"/>
          <w:sz w:val="32"/>
          <w:szCs w:val="32"/>
        </w:rPr>
        <w:t>；住房保障支出0万元，占0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jc w:val="center"/>
        <w:rPr>
          <w:rFonts w:hint="eastAsia" w:ascii="黑体" w:hAnsi="黑体" w:eastAsia="黑体"/>
          <w:color w:val="000000"/>
          <w:sz w:val="32"/>
          <w:szCs w:val="32"/>
        </w:rPr>
      </w:pPr>
      <w:bookmarkStart w:id="40" w:name="_Toc15377212"/>
      <w:r>
        <w:rPr>
          <w:rFonts w:hint="eastAsia" w:ascii="黑体" w:hAnsi="黑体" w:eastAsia="黑体"/>
          <w:color w:val="000000"/>
          <w:sz w:val="32"/>
          <w:szCs w:val="32"/>
        </w:rPr>
        <w:drawing>
          <wp:anchor distT="0" distB="0" distL="114300" distR="114300" simplePos="0" relativeHeight="251664384" behindDoc="0" locked="0" layoutInCell="1" allowOverlap="1">
            <wp:simplePos x="0" y="0"/>
            <wp:positionH relativeFrom="column">
              <wp:posOffset>0</wp:posOffset>
            </wp:positionH>
            <wp:positionV relativeFrom="paragraph">
              <wp:posOffset>381000</wp:posOffset>
            </wp:positionV>
            <wp:extent cx="5274310" cy="2419350"/>
            <wp:effectExtent l="19050" t="0" r="21590" b="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6</w:t>
      </w:r>
      <w:r>
        <w:rPr>
          <w:rFonts w:hint="eastAsia" w:ascii="黑体" w:hAnsi="黑体" w:eastAsia="黑体"/>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8460"/>
      <w:bookmarkStart w:id="42" w:name="_Toc15377213"/>
      <w:bookmarkStart w:id="43"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年一般公共预算支出决算数为816</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完成预算54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41"/>
      <w:bookmarkEnd w:id="42"/>
      <w:bookmarkEnd w:id="43"/>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（类）公共卫生（款）其它专业公共卫生（项）</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支出决算为440万元，完成预算54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，决算数小于预算数的主要原因是指标下达时间晚于关账时间。</w:t>
      </w:r>
    </w:p>
    <w:p>
      <w:pPr>
        <w:tabs>
          <w:tab w:val="right" w:pos="8306"/>
        </w:tabs>
        <w:spacing w:line="600" w:lineRule="exact"/>
        <w:ind w:firstLine="640" w:firstLineChars="200"/>
        <w:outlineLvl w:val="1"/>
        <w:rPr>
          <w:rStyle w:val="20"/>
        </w:rPr>
      </w:pPr>
      <w:bookmarkStart w:id="44" w:name="_Toc15377214"/>
      <w:bookmarkStart w:id="45" w:name="_Toc15396608"/>
      <w:r>
        <w:rPr>
          <w:rFonts w:hint="eastAsia" w:ascii="黑体" w:eastAsia="黑体"/>
          <w:color w:val="000000"/>
          <w:sz w:val="32"/>
          <w:szCs w:val="32"/>
        </w:rPr>
        <w:t>六、</w:t>
      </w:r>
      <w:r>
        <w:rPr>
          <w:rFonts w:hint="eastAsia" w:ascii="黑体" w:hAnsi="黑体" w:eastAsia="黑体"/>
          <w:color w:val="000000"/>
          <w:sz w:val="32"/>
          <w:szCs w:val="32"/>
        </w:rPr>
        <w:t>一</w:t>
      </w:r>
      <w:r>
        <w:rPr>
          <w:rStyle w:val="20"/>
          <w:rFonts w:hint="eastAsia" w:ascii="黑体" w:hAnsi="黑体" w:eastAsia="黑体"/>
        </w:rPr>
        <w:t>般公共预算财政拨款基本支出决算情况说明</w:t>
      </w:r>
      <w:bookmarkEnd w:id="44"/>
      <w:bookmarkEnd w:id="45"/>
      <w:r>
        <w:rPr>
          <w:rStyle w:val="20"/>
          <w:rFonts w:ascii="黑体" w:hAnsi="黑体" w:eastAsia="黑体"/>
        </w:rPr>
        <w:tab/>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0万元，其中：人员经费0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20"/>
          <w:rFonts w:ascii="黑体" w:hAnsi="黑体" w:eastAsia="黑体"/>
        </w:rPr>
      </w:pPr>
      <w:bookmarkStart w:id="46" w:name="_Toc15377215"/>
      <w:bookmarkStart w:id="47" w:name="_Toc15396609"/>
      <w:r>
        <w:rPr>
          <w:rFonts w:hint="eastAsia" w:ascii="黑体" w:eastAsia="黑体"/>
          <w:color w:val="000000"/>
          <w:sz w:val="32"/>
          <w:szCs w:val="32"/>
        </w:rPr>
        <w:t>七、</w:t>
      </w:r>
      <w:r>
        <w:rPr>
          <w:rStyle w:val="20"/>
          <w:rFonts w:hint="eastAsia" w:ascii="黑体" w:hAnsi="黑体" w:eastAsia="黑体"/>
        </w:rPr>
        <w:t>“三公”经费财政拨款支出决算情况说明</w:t>
      </w:r>
      <w:bookmarkEnd w:id="46"/>
      <w:bookmarkEnd w:id="47"/>
    </w:p>
    <w:p>
      <w:pPr>
        <w:spacing w:line="600" w:lineRule="exact"/>
        <w:ind w:firstLine="643" w:firstLineChars="20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年“三公”经费财政拨款支出决算为0万元，完成预算0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，决算数小于预算数（或与预算数持平）的主要原因无。</w:t>
      </w:r>
    </w:p>
    <w:p>
      <w:pPr>
        <w:spacing w:line="600" w:lineRule="exact"/>
        <w:ind w:firstLine="643" w:firstLineChars="20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Cs/>
          <w:color w:val="000000"/>
          <w:sz w:val="32"/>
          <w:szCs w:val="32"/>
        </w:rPr>
        <w:t>完成预算0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。主要原因是0。</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Fonts w:ascii="仿宋_GB2312" w:eastAsia="仿宋_GB2312"/>
          <w:color w:val="000000"/>
          <w:sz w:val="32"/>
          <w:szCs w:val="32"/>
        </w:rPr>
        <w:t>,</w:t>
      </w:r>
      <w:r>
        <w:rPr>
          <w:rStyle w:val="15"/>
          <w:rFonts w:hint="eastAsia" w:ascii="仿宋" w:hAnsi="仿宋" w:eastAsia="仿宋"/>
          <w:bCs/>
          <w:color w:val="000000"/>
          <w:sz w:val="32"/>
          <w:szCs w:val="32"/>
        </w:rPr>
        <w:t>完成预算0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。主要原因无。</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0万元。全年按规定更新购置公务用车0辆，其中：轿车0辆、金额0万元，越野车0辆、金额0万元，载客汽车0辆、金额0万元，主要用于0。截至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3" w:firstLineChars="20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5"/>
          <w:rFonts w:hint="eastAsia" w:ascii="仿宋" w:hAnsi="仿宋" w:eastAsia="仿宋"/>
          <w:bCs/>
          <w:color w:val="000000"/>
          <w:sz w:val="32"/>
          <w:szCs w:val="32"/>
        </w:rPr>
        <w:t>完成预算0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。主要原因无。其中：</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万元，主要用于0</w:t>
      </w:r>
      <w:r>
        <w:rPr>
          <w:rFonts w:ascii="仿宋_GB2312" w:eastAsia="仿宋_GB2312"/>
          <w:color w:val="000000"/>
          <w:sz w:val="32"/>
          <w:szCs w:val="32"/>
        </w:rPr>
        <w:t>(</w:t>
      </w:r>
      <w:r>
        <w:rPr>
          <w:rFonts w:hint="eastAsia" w:ascii="仿宋_GB2312" w:eastAsia="仿宋_GB2312"/>
          <w:color w:val="000000"/>
          <w:sz w:val="32"/>
          <w:szCs w:val="32"/>
        </w:rPr>
        <w:t>执行公务、开展业务活动开支的交通费、住宿费、用餐费等</w:t>
      </w:r>
      <w:r>
        <w:rPr>
          <w:rFonts w:ascii="仿宋_GB2312" w:eastAsia="仿宋_GB2312"/>
          <w:color w:val="000000"/>
          <w:sz w:val="32"/>
          <w:szCs w:val="32"/>
        </w:rPr>
        <w:t>)</w:t>
      </w:r>
      <w:r>
        <w:rPr>
          <w:rFonts w:hint="eastAsia" w:ascii="仿宋_GB2312" w:eastAsia="仿宋_GB2312"/>
          <w:color w:val="000000"/>
          <w:sz w:val="32"/>
          <w:szCs w:val="32"/>
        </w:rPr>
        <w:t>。国内公务接待0批次，0人次（不包括陪同人员），共计支出0万元，具体内容包括：（接待具体项目、金额）。</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万元，外事接待0批次，0人，共计支出0万元，主要用于接待（具体项目）。主要用于无。</w:t>
      </w:r>
      <w:bookmarkStart w:id="50" w:name="_Toc15377218"/>
      <w:bookmarkStart w:id="51" w:name="_Toc15396610"/>
    </w:p>
    <w:p>
      <w:pPr>
        <w:spacing w:line="600" w:lineRule="exact"/>
        <w:ind w:firstLine="640" w:firstLineChars="200"/>
        <w:outlineLvl w:val="1"/>
        <w:rPr>
          <w:rStyle w:val="20"/>
          <w:rFonts w:ascii="黑体" w:hAnsi="黑体" w:eastAsia="黑体"/>
        </w:rPr>
      </w:pPr>
      <w:r>
        <w:rPr>
          <w:rFonts w:hint="eastAsia" w:ascii="黑体" w:eastAsia="黑体"/>
          <w:color w:val="000000"/>
          <w:sz w:val="32"/>
          <w:szCs w:val="32"/>
        </w:rPr>
        <w:t>八、</w:t>
      </w:r>
      <w:r>
        <w:rPr>
          <w:rStyle w:val="20"/>
          <w:rFonts w:hint="eastAsia" w:ascii="黑体" w:hAnsi="黑体" w:eastAsia="黑体"/>
        </w:rPr>
        <w:t>政府性基金预算支出决算情况说明</w:t>
      </w:r>
      <w:bookmarkEnd w:id="50"/>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年政府性基金预算拨款支出0万元。</w:t>
      </w:r>
    </w:p>
    <w:p>
      <w:pPr>
        <w:numPr>
          <w:ilvl w:val="0"/>
          <w:numId w:val="1"/>
        </w:numPr>
        <w:spacing w:line="600" w:lineRule="exact"/>
        <w:ind w:firstLine="643" w:firstLineChars="200"/>
        <w:outlineLvl w:val="1"/>
        <w:rPr>
          <w:rStyle w:val="20"/>
          <w:rFonts w:ascii="黑体" w:hAnsi="黑体" w:eastAsia="黑体"/>
          <w:b w:val="0"/>
        </w:rPr>
      </w:pPr>
      <w:bookmarkStart w:id="52" w:name="_Toc15396611"/>
      <w:bookmarkStart w:id="53" w:name="_Toc15377219"/>
      <w:r>
        <w:rPr>
          <w:rStyle w:val="20"/>
          <w:rFonts w:hint="eastAsia" w:ascii="黑体" w:hAnsi="黑体" w:eastAsia="黑体"/>
        </w:rPr>
        <w:t>国有资本经营预算支出决算情况说明</w:t>
      </w:r>
      <w:bookmarkEnd w:id="52"/>
      <w:bookmarkEnd w:id="53"/>
    </w:p>
    <w:p>
      <w:pPr>
        <w:spacing w:line="600" w:lineRule="exact"/>
        <w:ind w:firstLine="640" w:firstLineChars="20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600" w:lineRule="exact"/>
        <w:ind w:firstLine="640" w:firstLineChars="200"/>
        <w:outlineLvl w:val="1"/>
        <w:rPr>
          <w:rStyle w:val="20"/>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0"/>
          <w:rFonts w:hint="eastAsia" w:ascii="黑体" w:hAnsi="黑体" w:eastAsia="黑体"/>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年，机关运行经费支出0万元，比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2019</w:t>
      </w:r>
      <w:r>
        <w:rPr>
          <w:rFonts w:hint="eastAsia" w:ascii="仿宋_GB2312" w:eastAsia="仿宋_GB2312"/>
          <w:color w:val="000000"/>
          <w:sz w:val="32"/>
          <w:szCs w:val="32"/>
        </w:rPr>
        <w:t>年决算数持平）。主要原因无。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年，政府采购支出总额0万元，其中：政府采购货物支出0万元、政府采购工程支出0万元、政府采购服务支出0万元。主要用于（具体工作）。授予中小企业合同金额0万元，占政府采购支出总额的0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日，巴中市无偿献血工作领导小组办公室共有车辆0辆，其中：主要领导干部用车0辆、机要通信用车0辆、应急保障用车0辆、其他用车0辆，其他用车主要是用于无单价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巴中市无偿献血工作领导小组办公室在年初预算编制阶段，组织对核酸检测试剂费、无偿献血纪念品采购经费、无偿献血退费、无偿献血宣传经费项目开展了预算事前绩效评估，对4个项目编制了绩效目标，预算执行过程中，选取4个项目开展绩效监控，年终执行完毕后，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年部门整体支出开展绩效自评，从评价情况来看完成良好。</w:t>
      </w:r>
    </w:p>
    <w:p>
      <w:pPr>
        <w:spacing w:line="600" w:lineRule="exact"/>
        <w:ind w:firstLine="707" w:firstLineChars="221"/>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年度部门决算中反映“无偿献血纪念品购置经费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核酸检测试剂费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“无偿献血退费”“无偿献血宣传经费”等4个项目绩效目标实际完成情况。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）无偿献血纪念品购置经费项目绩效目标完成情况综述。项目全年预算数40万元，执行数为30.23万元，完成预算的76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中华人民共和国献血法》第十七条;“各级人民政府和红十字会对积极参加献血和在献血工作中做出显著成绩的单位和个人，给予奖励。”发放献血纪念品是我国无偿献血宣传招募不可忽视的组成部分，因无偿献血退费资金短缺剩余金额支付了无偿献血退费。下一步改进措施：完善预算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）核酸检测试剂费项目绩效目标完成情况综述。项目全年预算数100万元，执行数为44.5万元，完成预算的44.5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血站技术操作规程》、《国家卫计委、财政部关于做好血液核酸检测工作的通知》（国卫办医发[2015]11号）检测发现血液传染性疾病，缩短窗口期，更精确保障临床用血质量安全和公民健康，因无偿献血退费资金短缺剩余金额支付了无偿献血退费。下一步改进措施：完善预算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）无偿献血退费项目绩效目标完成情况综述。项目全年预算数60万元，执行数为309.37万元，完成预算的100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。通过项目实施，《巴中市医疗用血收取费用管理暂行办法》（巴财社[2005]31号），《巴中市卫生和计划生育委员会 巴中市财政局关于印发《巴中市公民医疗用血退费管理办法（2017年修订版）〉的通知》（巴市卫发[2017]69号）。参与无偿献血的公民按规定可以享受退费、报销的，予以退费、报销。因无偿献血退费资金实际支付和发生金额大于预算金额。下一步改进措施：完善预算申请和相关申请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（4）无偿献血宣传经费项目绩效目标完成情况综述。项目全年预算数20万元，执行数为5.9万元，完成预算的29.5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。通过项目实施，，发现的主要问题：因无偿献血退费资金短缺剩余金额支付了无偿献血退费。下一步改进措施：完善预算申请。</w:t>
      </w: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42"/>
        <w:gridCol w:w="1033"/>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表1项目绩效目标完成情况表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无偿献血纪念品购置经费</w:t>
            </w:r>
          </w:p>
        </w:tc>
      </w:tr>
      <w:tr>
        <w:tblPrEx>
          <w:tblCellMar>
            <w:top w:w="0" w:type="dxa"/>
            <w:left w:w="0" w:type="dxa"/>
            <w:bottom w:w="0" w:type="dxa"/>
            <w:right w:w="0" w:type="dxa"/>
          </w:tblCellMar>
        </w:tblPrEx>
        <w:trPr>
          <w:trHeight w:val="4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巴中市无偿献血工作领导小组办公室</w:t>
            </w:r>
          </w:p>
        </w:tc>
      </w:tr>
      <w:tr>
        <w:tblPrEx>
          <w:tblCellMar>
            <w:top w:w="0" w:type="dxa"/>
            <w:left w:w="0" w:type="dxa"/>
            <w:bottom w:w="0" w:type="dxa"/>
            <w:right w:w="0" w:type="dxa"/>
          </w:tblCellMar>
        </w:tblPrEx>
        <w:trPr>
          <w:trHeight w:val="503"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30.23</w:t>
            </w:r>
          </w:p>
        </w:tc>
      </w:tr>
      <w:tr>
        <w:tblPrEx>
          <w:tblCellMar>
            <w:top w:w="0" w:type="dxa"/>
            <w:left w:w="0" w:type="dxa"/>
            <w:bottom w:w="0" w:type="dxa"/>
            <w:right w:w="0" w:type="dxa"/>
          </w:tblCellMar>
        </w:tblPrEx>
        <w:trPr>
          <w:trHeight w:val="50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50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30.23</w:t>
            </w:r>
          </w:p>
        </w:tc>
      </w:tr>
      <w:tr>
        <w:tblPrEx>
          <w:tblCellMar>
            <w:top w:w="0" w:type="dxa"/>
            <w:left w:w="0" w:type="dxa"/>
            <w:bottom w:w="0" w:type="dxa"/>
            <w:right w:w="0" w:type="dxa"/>
          </w:tblCellMar>
        </w:tblPrEx>
        <w:trPr>
          <w:trHeight w:val="517"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《中华人民共和国献血法》第十七条;“各级人民政府和红十字会对积极参加献血和在献血工作中做出显著成绩的单位和个人，给予奖励。”发放献血纪念品是我国无偿献血宣传招募不可忽视的组成部分</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《中华人民共和国献血法》第十七条;“各级人民政府和红十字会对积极参加献血和在献血工作中做出显著成绩的单位和个人，给予奖励。”发放献血纪念品是我国无偿献血宣传招募不可忽视的组成部分</w:t>
            </w:r>
          </w:p>
        </w:tc>
      </w:tr>
      <w:tr>
        <w:tblPrEx>
          <w:tblCellMar>
            <w:top w:w="0" w:type="dxa"/>
            <w:left w:w="0" w:type="dxa"/>
            <w:bottom w:w="0" w:type="dxa"/>
            <w:right w:w="0" w:type="dxa"/>
          </w:tblCellMar>
        </w:tblPrEx>
        <w:trPr>
          <w:trHeight w:val="929"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84"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≥30000人次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≥30000人次</w:t>
            </w:r>
          </w:p>
        </w:tc>
      </w:tr>
      <w:tr>
        <w:tblPrEx>
          <w:tblCellMar>
            <w:top w:w="0" w:type="dxa"/>
            <w:left w:w="0" w:type="dxa"/>
            <w:bottom w:w="0" w:type="dxa"/>
            <w:right w:w="0" w:type="dxa"/>
          </w:tblCellMar>
        </w:tblPrEx>
        <w:trPr>
          <w:trHeight w:val="96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纪念品合格率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r>
      <w:tr>
        <w:tblPrEx>
          <w:tblCellMar>
            <w:top w:w="0" w:type="dxa"/>
            <w:left w:w="0" w:type="dxa"/>
            <w:bottom w:w="0" w:type="dxa"/>
            <w:right w:w="0" w:type="dxa"/>
          </w:tblCellMar>
        </w:tblPrEx>
        <w:trPr>
          <w:trHeight w:val="95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更新率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w:t>
            </w:r>
          </w:p>
        </w:tc>
      </w:tr>
      <w:tr>
        <w:tblPrEx>
          <w:tblCellMar>
            <w:top w:w="0" w:type="dxa"/>
            <w:left w:w="0" w:type="dxa"/>
            <w:bottom w:w="0" w:type="dxa"/>
            <w:right w:w="0" w:type="dxa"/>
          </w:tblCellMar>
        </w:tblPrEx>
        <w:trPr>
          <w:trHeight w:val="96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纪念品成本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≥40元/人.套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≥40元/人.套</w:t>
            </w:r>
          </w:p>
        </w:tc>
      </w:tr>
      <w:tr>
        <w:tblPrEx>
          <w:tblCellMar>
            <w:top w:w="0" w:type="dxa"/>
            <w:left w:w="0" w:type="dxa"/>
            <w:bottom w:w="0" w:type="dxa"/>
            <w:right w:w="0" w:type="dxa"/>
          </w:tblCellMar>
        </w:tblPrEx>
        <w:trPr>
          <w:trHeight w:val="104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固定献血者逐年增加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固定献血者增加≥10%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固定献血者增加≥10%</w:t>
            </w:r>
          </w:p>
        </w:tc>
      </w:tr>
      <w:tr>
        <w:tblPrEx>
          <w:tblCellMar>
            <w:top w:w="0" w:type="dxa"/>
            <w:left w:w="0" w:type="dxa"/>
            <w:bottom w:w="0" w:type="dxa"/>
            <w:right w:w="0" w:type="dxa"/>
          </w:tblCellMar>
        </w:tblPrEx>
        <w:trPr>
          <w:trHeight w:val="129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保障采供血未来事业发展临床用血及时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长期保障、临床用血安全保障率≥99%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长期保障、临床用血安全保障率≥99%</w:t>
            </w:r>
          </w:p>
        </w:tc>
      </w:tr>
      <w:tr>
        <w:tblPrEx>
          <w:tblCellMar>
            <w:top w:w="0" w:type="dxa"/>
            <w:left w:w="0" w:type="dxa"/>
            <w:bottom w:w="0" w:type="dxa"/>
            <w:right w:w="0" w:type="dxa"/>
          </w:tblCellMar>
        </w:tblPrEx>
        <w:trPr>
          <w:trHeight w:val="1050" w:hRule="atLeast"/>
          <w:jc w:val="center"/>
        </w:trPr>
        <w:tc>
          <w:tcPr>
            <w:tcW w:w="5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全市无偿献血者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满意度≥96%</w:t>
            </w:r>
          </w:p>
        </w:tc>
      </w:tr>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表2项目绩效目标完成情况表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18"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核酸检测试剂费</w:t>
            </w:r>
          </w:p>
        </w:tc>
      </w:tr>
      <w:tr>
        <w:tblPrEx>
          <w:tblCellMar>
            <w:top w:w="0" w:type="dxa"/>
            <w:left w:w="0" w:type="dxa"/>
            <w:bottom w:w="0" w:type="dxa"/>
            <w:right w:w="0" w:type="dxa"/>
          </w:tblCellMar>
        </w:tblPrEx>
        <w:trPr>
          <w:trHeight w:val="418"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巴中市无偿献血工作领导小组办公室</w:t>
            </w:r>
          </w:p>
        </w:tc>
      </w:tr>
      <w:tr>
        <w:tblPrEx>
          <w:tblCellMar>
            <w:top w:w="0" w:type="dxa"/>
            <w:left w:w="0" w:type="dxa"/>
            <w:bottom w:w="0" w:type="dxa"/>
            <w:right w:w="0" w:type="dxa"/>
          </w:tblCellMar>
        </w:tblPrEx>
        <w:trPr>
          <w:trHeight w:val="503" w:hRule="atLeast"/>
          <w:jc w:val="center"/>
        </w:trPr>
        <w:tc>
          <w:tcPr>
            <w:tcW w:w="7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44.5</w:t>
            </w:r>
          </w:p>
        </w:tc>
      </w:tr>
      <w:tr>
        <w:tblPrEx>
          <w:tblCellMar>
            <w:top w:w="0" w:type="dxa"/>
            <w:left w:w="0" w:type="dxa"/>
            <w:bottom w:w="0" w:type="dxa"/>
            <w:right w:w="0" w:type="dxa"/>
          </w:tblCellMar>
        </w:tblPrEx>
        <w:trPr>
          <w:trHeight w:val="503" w:hRule="atLeast"/>
          <w:jc w:val="center"/>
        </w:trPr>
        <w:tc>
          <w:tcPr>
            <w:tcW w:w="7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504" w:hRule="atLeast"/>
          <w:jc w:val="center"/>
        </w:trPr>
        <w:tc>
          <w:tcPr>
            <w:tcW w:w="7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44.5</w:t>
            </w:r>
          </w:p>
        </w:tc>
      </w:tr>
      <w:tr>
        <w:tblPrEx>
          <w:tblCellMar>
            <w:top w:w="0" w:type="dxa"/>
            <w:left w:w="0" w:type="dxa"/>
            <w:bottom w:w="0" w:type="dxa"/>
            <w:right w:w="0" w:type="dxa"/>
          </w:tblCellMar>
        </w:tblPrEx>
        <w:trPr>
          <w:trHeight w:val="512" w:hRule="atLeast"/>
          <w:jc w:val="center"/>
        </w:trPr>
        <w:tc>
          <w:tcPr>
            <w:tcW w:w="7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7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《血站技术操作规程》、《国家卫计委、财政部关于做好血液核酸检测工作的通知》（国卫办医发[2015]11号）检测发现血液传染性疾病，缩短窗口期，更精确保障临床用血质量安全和公民健康</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《血站技术操作规程》、《国家卫计委、财政部关于做好血液核酸检测工作的通知》（国卫办医发[2015]11号）检测发现血液传染性疾病，缩短窗口期，更精确保障临床用血质量安全和公民健康</w:t>
            </w:r>
          </w:p>
        </w:tc>
      </w:tr>
      <w:tr>
        <w:tblPrEx>
          <w:tblCellMar>
            <w:top w:w="0" w:type="dxa"/>
            <w:left w:w="0" w:type="dxa"/>
            <w:bottom w:w="0" w:type="dxa"/>
            <w:right w:w="0" w:type="dxa"/>
          </w:tblCellMar>
        </w:tblPrEx>
        <w:trPr>
          <w:trHeight w:val="1042" w:hRule="atLeast"/>
          <w:jc w:val="center"/>
        </w:trPr>
        <w:tc>
          <w:tcPr>
            <w:tcW w:w="72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1147"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采血试剂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试剂使用量≥27500人份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试剂使用量≥27500人份</w:t>
            </w:r>
          </w:p>
        </w:tc>
      </w:tr>
      <w:tr>
        <w:tblPrEx>
          <w:tblCellMar>
            <w:top w:w="0" w:type="dxa"/>
            <w:left w:w="0" w:type="dxa"/>
            <w:bottom w:w="0" w:type="dxa"/>
            <w:right w:w="0" w:type="dxa"/>
          </w:tblCellMar>
        </w:tblPrEx>
        <w:trPr>
          <w:trHeight w:val="1107"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提供临床医疗急救用血，防止输血传染病。血液合格率为99.9%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提供临床医疗急救用血，防止输血传染病。血液合格率为99.9%</w:t>
            </w:r>
          </w:p>
        </w:tc>
      </w:tr>
      <w:tr>
        <w:tblPrEx>
          <w:tblCellMar>
            <w:top w:w="0" w:type="dxa"/>
            <w:left w:w="0" w:type="dxa"/>
            <w:bottom w:w="0" w:type="dxa"/>
            <w:right w:w="0" w:type="dxa"/>
          </w:tblCellMar>
        </w:tblPrEx>
        <w:trPr>
          <w:trHeight w:val="1042"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疾病防治率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防止乙肝、丙肝、艾滋等病毒传播率＜1%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防止乙肝、丙肝、艾滋等病毒传播率＜1%</w:t>
            </w:r>
          </w:p>
        </w:tc>
      </w:tr>
      <w:tr>
        <w:tblPrEx>
          <w:tblCellMar>
            <w:top w:w="0" w:type="dxa"/>
            <w:left w:w="0" w:type="dxa"/>
            <w:bottom w:w="0" w:type="dxa"/>
            <w:right w:w="0" w:type="dxa"/>
          </w:tblCellMar>
        </w:tblPrEx>
        <w:trPr>
          <w:trHeight w:val="1025"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标本检测时限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＜5天</w:t>
            </w:r>
          </w:p>
        </w:tc>
      </w:tr>
      <w:tr>
        <w:tblPrEx>
          <w:tblCellMar>
            <w:top w:w="0" w:type="dxa"/>
            <w:left w:w="0" w:type="dxa"/>
            <w:bottom w:w="0" w:type="dxa"/>
            <w:right w:w="0" w:type="dxa"/>
          </w:tblCellMar>
        </w:tblPrEx>
        <w:trPr>
          <w:trHeight w:val="1042"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检测试剂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检测血液标本27500人份，试剂采购价约需130元/人份     27500*130=357.5万元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检测血液标本27500人份，试剂采购价约需130元/人份     27500*130=357.5万元</w:t>
            </w:r>
          </w:p>
        </w:tc>
      </w:tr>
      <w:tr>
        <w:tblPrEx>
          <w:tblCellMar>
            <w:top w:w="0" w:type="dxa"/>
            <w:left w:w="0" w:type="dxa"/>
            <w:bottom w:w="0" w:type="dxa"/>
            <w:right w:w="0" w:type="dxa"/>
          </w:tblCellMar>
        </w:tblPrEx>
        <w:trPr>
          <w:trHeight w:val="801"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增加临床输血安全率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输血安全率≥99%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输血安全率≥99%</w:t>
            </w:r>
          </w:p>
        </w:tc>
      </w:tr>
      <w:tr>
        <w:tblPrEx>
          <w:tblCellMar>
            <w:top w:w="0" w:type="dxa"/>
            <w:left w:w="0" w:type="dxa"/>
            <w:bottom w:w="0" w:type="dxa"/>
            <w:right w:w="0" w:type="dxa"/>
          </w:tblCellMar>
        </w:tblPrEx>
        <w:trPr>
          <w:trHeight w:val="877"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社会稳定率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增加社会稳定率≥0.5%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增加社会稳定率≥0.5%</w:t>
            </w:r>
          </w:p>
        </w:tc>
      </w:tr>
      <w:tr>
        <w:tblPrEx>
          <w:tblCellMar>
            <w:top w:w="0" w:type="dxa"/>
            <w:left w:w="0" w:type="dxa"/>
            <w:bottom w:w="0" w:type="dxa"/>
            <w:right w:w="0" w:type="dxa"/>
          </w:tblCellMar>
        </w:tblPrEx>
        <w:trPr>
          <w:trHeight w:val="911"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保障采供血未来事业发展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w:t>
            </w:r>
          </w:p>
        </w:tc>
      </w:tr>
      <w:tr>
        <w:tblPrEx>
          <w:tblCellMar>
            <w:top w:w="0" w:type="dxa"/>
            <w:left w:w="0" w:type="dxa"/>
            <w:bottom w:w="0" w:type="dxa"/>
            <w:right w:w="0" w:type="dxa"/>
          </w:tblCellMar>
        </w:tblPrEx>
        <w:trPr>
          <w:trHeight w:val="1050"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献血者满意度≥96%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献血者满意度≥96%</w:t>
            </w:r>
          </w:p>
        </w:tc>
      </w:tr>
      <w:tr>
        <w:tblPrEx>
          <w:tblCellMar>
            <w:top w:w="0" w:type="dxa"/>
            <w:left w:w="0" w:type="dxa"/>
            <w:bottom w:w="0" w:type="dxa"/>
            <w:right w:w="0" w:type="dxa"/>
          </w:tblCellMar>
        </w:tblPrEx>
        <w:trPr>
          <w:trHeight w:val="1050" w:hRule="atLeast"/>
          <w:jc w:val="center"/>
        </w:trPr>
        <w:tc>
          <w:tcPr>
            <w:tcW w:w="724" w:type="dxa"/>
            <w:gridSpan w:val="2"/>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医疗机构满意度≥95%</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175"/>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表3项目绩效目标完成情况表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73"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无偿献血退费</w:t>
            </w:r>
          </w:p>
        </w:tc>
      </w:tr>
      <w:tr>
        <w:tblPrEx>
          <w:tblCellMar>
            <w:top w:w="0" w:type="dxa"/>
            <w:left w:w="0" w:type="dxa"/>
            <w:bottom w:w="0" w:type="dxa"/>
            <w:right w:w="0" w:type="dxa"/>
          </w:tblCellMar>
        </w:tblPrEx>
        <w:trPr>
          <w:trHeight w:val="473"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巴中市无偿献血工作领导小组办公室</w:t>
            </w:r>
          </w:p>
        </w:tc>
      </w:tr>
      <w:tr>
        <w:tblPrEx>
          <w:tblCellMar>
            <w:top w:w="0" w:type="dxa"/>
            <w:left w:w="0" w:type="dxa"/>
            <w:bottom w:w="0" w:type="dxa"/>
            <w:right w:w="0" w:type="dxa"/>
          </w:tblCellMar>
        </w:tblPrEx>
        <w:trPr>
          <w:trHeight w:val="544"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309.37</w:t>
            </w:r>
          </w:p>
        </w:tc>
      </w:tr>
      <w:tr>
        <w:tblPrEx>
          <w:tblCellMar>
            <w:top w:w="0" w:type="dxa"/>
            <w:left w:w="0" w:type="dxa"/>
            <w:bottom w:w="0" w:type="dxa"/>
            <w:right w:w="0" w:type="dxa"/>
          </w:tblCellMar>
        </w:tblPrEx>
        <w:trPr>
          <w:trHeight w:val="538"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421"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309.37</w:t>
            </w:r>
          </w:p>
        </w:tc>
      </w:tr>
      <w:tr>
        <w:tblPrEx>
          <w:tblCellMar>
            <w:top w:w="0" w:type="dxa"/>
            <w:left w:w="0" w:type="dxa"/>
            <w:bottom w:w="0" w:type="dxa"/>
            <w:right w:w="0" w:type="dxa"/>
          </w:tblCellMar>
        </w:tblPrEx>
        <w:trPr>
          <w:trHeight w:val="578"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《巴中市医疗用血收取费用管理暂行办法》（巴财社[2005]31号），《巴中市卫生和计划生育委员会 巴中市财政局关于印发《巴中市公民医疗用血退费管理办法（2017年修订版）〉的通知》（巴市卫发[2017]69号）。参与无偿献血的公民按规定可以享受退费、报销的，予以退费、报销。</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《巴中市医疗用血收取费用管理暂行办法》（巴财社[2005]31号），《巴中市卫生和计划生育委员会 巴中市财政局关于印发《巴中市公民医疗用血退费管理办法（2017年修订版）〉的通知》（巴市卫发[2017]69号）。参与无偿献血的公民按规定可以享受退费、报销的，予以退费、报销。</w:t>
            </w:r>
          </w:p>
        </w:tc>
      </w:tr>
      <w:tr>
        <w:tblPrEx>
          <w:tblCellMar>
            <w:top w:w="0" w:type="dxa"/>
            <w:left w:w="0" w:type="dxa"/>
            <w:bottom w:w="0" w:type="dxa"/>
            <w:right w:w="0" w:type="dxa"/>
          </w:tblCellMar>
        </w:tblPrEx>
        <w:trPr>
          <w:trHeight w:val="1042"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无偿献血退费人数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≥4450人次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≥4450人次</w:t>
            </w:r>
          </w:p>
        </w:tc>
      </w:tr>
      <w:tr>
        <w:tblPrEx>
          <w:tblCellMar>
            <w:top w:w="0" w:type="dxa"/>
            <w:left w:w="0" w:type="dxa"/>
            <w:bottom w:w="0" w:type="dxa"/>
            <w:right w:w="0" w:type="dxa"/>
          </w:tblCellMar>
        </w:tblPrEx>
        <w:trPr>
          <w:trHeight w:val="129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符合政策享受无偿献血退费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r>
      <w:tr>
        <w:tblPrEx>
          <w:tblCellMar>
            <w:top w:w="0" w:type="dxa"/>
            <w:left w:w="0" w:type="dxa"/>
            <w:bottom w:w="0" w:type="dxa"/>
            <w:right w:w="0" w:type="dxa"/>
          </w:tblCellMar>
        </w:tblPrEx>
        <w:trPr>
          <w:trHeight w:val="104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无偿献血退费及时率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r>
              <w:rPr>
                <w:rFonts w:hint="eastAsia"/>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r>
              <w:rPr>
                <w:rFonts w:hint="eastAsia"/>
              </w:rPr>
              <w:t>≥95%</w:t>
            </w:r>
          </w:p>
        </w:tc>
      </w:tr>
      <w:tr>
        <w:tblPrEx>
          <w:tblCellMar>
            <w:top w:w="0" w:type="dxa"/>
            <w:left w:w="0" w:type="dxa"/>
            <w:bottom w:w="0" w:type="dxa"/>
            <w:right w:w="0" w:type="dxa"/>
          </w:tblCellMar>
        </w:tblPrEx>
        <w:trPr>
          <w:trHeight w:val="104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固定献血者逐年增加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固定献血者增加≥10%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固定献血者增加≥10%</w:t>
            </w:r>
          </w:p>
        </w:tc>
      </w:tr>
      <w:tr>
        <w:tblPrEx>
          <w:tblCellMar>
            <w:top w:w="0" w:type="dxa"/>
            <w:left w:w="0" w:type="dxa"/>
            <w:bottom w:w="0" w:type="dxa"/>
            <w:right w:w="0" w:type="dxa"/>
          </w:tblCellMar>
        </w:tblPrEx>
        <w:trPr>
          <w:trHeight w:val="129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保障采供血未来事业发展临床用血及时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长期保障、临床用血安全保障率≥99%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长期保障、临床用血安全保障率≥99%</w:t>
            </w:r>
          </w:p>
        </w:tc>
      </w:tr>
      <w:tr>
        <w:tblPrEx>
          <w:tblCellMar>
            <w:top w:w="0" w:type="dxa"/>
            <w:left w:w="0" w:type="dxa"/>
            <w:bottom w:w="0" w:type="dxa"/>
            <w:right w:w="0" w:type="dxa"/>
          </w:tblCellMar>
        </w:tblPrEx>
        <w:trPr>
          <w:trHeight w:val="1050"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献血者、用血者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满意度≥96%</w:t>
            </w:r>
          </w:p>
        </w:tc>
      </w:tr>
      <w:tr>
        <w:tblPrEx>
          <w:tblCellMar>
            <w:top w:w="0" w:type="dxa"/>
            <w:left w:w="0" w:type="dxa"/>
            <w:bottom w:w="0" w:type="dxa"/>
            <w:right w:w="0" w:type="dxa"/>
          </w:tblCellMar>
        </w:tblPrEx>
        <w:trPr>
          <w:trHeight w:val="1050" w:hRule="atLeast"/>
          <w:jc w:val="center"/>
        </w:trPr>
        <w:tc>
          <w:tcPr>
            <w:tcW w:w="582"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满意度≥95%</w:t>
            </w:r>
          </w:p>
        </w:tc>
      </w:tr>
    </w:tbl>
    <w:p>
      <w:pPr>
        <w:spacing w:line="580" w:lineRule="exact"/>
        <w:ind w:left="630"/>
        <w:rPr>
          <w:rFonts w:hint="eastAsia"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134"/>
        <w:gridCol w:w="1066"/>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jc w:val="center"/>
              <w:rPr>
                <w:rFonts w:ascii="黑体" w:hAnsi="黑体" w:eastAsia="黑体"/>
                <w:sz w:val="36"/>
                <w:szCs w:val="36"/>
              </w:rPr>
            </w:pPr>
            <w:r>
              <w:rPr>
                <w:rFonts w:hint="eastAsia" w:ascii="黑体" w:hAnsi="黑体" w:eastAsia="黑体"/>
                <w:b/>
                <w:sz w:val="36"/>
                <w:szCs w:val="36"/>
              </w:rPr>
              <w:t>表4项目绩效目标完成情况表</w:t>
            </w:r>
            <w:r>
              <w:rPr>
                <w:rFonts w:ascii="黑体" w:hAnsi="黑体" w:eastAsia="黑体"/>
                <w:b/>
                <w:sz w:val="36"/>
                <w:szCs w:val="36"/>
              </w:rPr>
              <w:br w:type="textWrapping"/>
            </w:r>
            <w:r>
              <w:rPr>
                <w:rFonts w:ascii="黑体" w:hAnsi="黑体" w:eastAsia="黑体"/>
                <w:sz w:val="36"/>
                <w:szCs w:val="36"/>
              </w:rPr>
              <w:t>(2020</w:t>
            </w:r>
            <w:r>
              <w:rPr>
                <w:rFonts w:hint="eastAsia" w:ascii="黑体" w:hAnsi="黑体" w:eastAsia="黑体"/>
                <w:sz w:val="36"/>
                <w:szCs w:val="36"/>
              </w:rPr>
              <w:t>年度</w:t>
            </w:r>
            <w:r>
              <w:rPr>
                <w:rFonts w:ascii="黑体" w:hAnsi="黑体" w:eastAsia="黑体"/>
                <w:sz w:val="36"/>
                <w:szCs w:val="36"/>
              </w:rPr>
              <w:t>)</w:t>
            </w:r>
          </w:p>
        </w:tc>
      </w:tr>
      <w:tr>
        <w:tblPrEx>
          <w:tblCellMar>
            <w:top w:w="0" w:type="dxa"/>
            <w:left w:w="0" w:type="dxa"/>
            <w:bottom w:w="0" w:type="dxa"/>
            <w:right w:w="0" w:type="dxa"/>
          </w:tblCellMar>
        </w:tblPrEx>
        <w:trPr>
          <w:trHeight w:val="40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无偿献血宣传经费</w:t>
            </w:r>
          </w:p>
        </w:tc>
      </w:tr>
      <w:tr>
        <w:tblPrEx>
          <w:tblCellMar>
            <w:top w:w="0" w:type="dxa"/>
            <w:left w:w="0" w:type="dxa"/>
            <w:bottom w:w="0" w:type="dxa"/>
            <w:right w:w="0" w:type="dxa"/>
          </w:tblCellMar>
        </w:tblPrEx>
        <w:trPr>
          <w:trHeight w:val="40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巴中市无偿献血工作领导小组办公室</w:t>
            </w:r>
          </w:p>
        </w:tc>
      </w:tr>
      <w:tr>
        <w:tblPrEx>
          <w:tblCellMar>
            <w:top w:w="0" w:type="dxa"/>
            <w:left w:w="0" w:type="dxa"/>
            <w:bottom w:w="0" w:type="dxa"/>
            <w:right w:w="0" w:type="dxa"/>
          </w:tblCellMar>
        </w:tblPrEx>
        <w:trPr>
          <w:trHeight w:val="503"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5.9</w:t>
            </w:r>
          </w:p>
        </w:tc>
      </w:tr>
      <w:tr>
        <w:tblPrEx>
          <w:tblCellMar>
            <w:top w:w="0" w:type="dxa"/>
            <w:left w:w="0" w:type="dxa"/>
            <w:bottom w:w="0" w:type="dxa"/>
            <w:right w:w="0" w:type="dxa"/>
          </w:tblCellMar>
        </w:tblPrEx>
        <w:trPr>
          <w:trHeight w:val="50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50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5.9</w:t>
            </w:r>
          </w:p>
        </w:tc>
      </w:tr>
      <w:tr>
        <w:tblPrEx>
          <w:tblCellMar>
            <w:top w:w="0" w:type="dxa"/>
            <w:left w:w="0" w:type="dxa"/>
            <w:bottom w:w="0" w:type="dxa"/>
            <w:right w:w="0" w:type="dxa"/>
          </w:tblCellMar>
        </w:tblPrEx>
        <w:trPr>
          <w:trHeight w:val="501"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《中华人民共和国献血法》第五条：“各级人民政府采取措施广泛宣传献血的意义，普及献血的科学知识，开展预防和控制经血液途径传播的疾病的教育。” 通过无偿献血宣传，自愿参与无偿献血人数逐年递增，保障全市临床用血供应。</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《中华人民共和国献血法》第五条：“各级人民政府采取措施广泛宣传献血的意义，普及献血的科学知识，开展预防和控制经血液途径传播的疾病的教育。” 通过无偿献血宣传，自愿参与无偿献血人数逐年递增，保障全市临床用血供应。</w:t>
            </w:r>
          </w:p>
        </w:tc>
      </w:tr>
      <w:tr>
        <w:tblPrEx>
          <w:tblCellMar>
            <w:top w:w="0" w:type="dxa"/>
            <w:left w:w="0" w:type="dxa"/>
            <w:bottom w:w="0" w:type="dxa"/>
            <w:right w:w="0" w:type="dxa"/>
          </w:tblCellMar>
        </w:tblPrEx>
        <w:trPr>
          <w:trHeight w:val="697"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61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献血者增加≥2300人次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献血者增加≥2300人次</w:t>
            </w:r>
          </w:p>
        </w:tc>
      </w:tr>
      <w:tr>
        <w:tblPrEx>
          <w:tblCellMar>
            <w:top w:w="0" w:type="dxa"/>
            <w:left w:w="0" w:type="dxa"/>
            <w:bottom w:w="0" w:type="dxa"/>
            <w:right w:w="0" w:type="dxa"/>
          </w:tblCellMar>
        </w:tblPrEx>
        <w:trPr>
          <w:trHeight w:val="70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大型宣传活动次数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≥4次</w:t>
            </w:r>
          </w:p>
        </w:tc>
      </w:tr>
      <w:tr>
        <w:tblPrEx>
          <w:tblCellMar>
            <w:top w:w="0" w:type="dxa"/>
            <w:left w:w="0" w:type="dxa"/>
            <w:bottom w:w="0" w:type="dxa"/>
            <w:right w:w="0" w:type="dxa"/>
          </w:tblCellMar>
        </w:tblPrEx>
        <w:trPr>
          <w:trHeight w:val="104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招募了解献血信息人数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≥30000人</w:t>
            </w:r>
          </w:p>
        </w:tc>
      </w:tr>
      <w:tr>
        <w:tblPrEx>
          <w:tblCellMar>
            <w:top w:w="0" w:type="dxa"/>
            <w:left w:w="0" w:type="dxa"/>
            <w:bottom w:w="0" w:type="dxa"/>
            <w:right w:w="0" w:type="dxa"/>
          </w:tblCellMar>
        </w:tblPrEx>
        <w:trPr>
          <w:trHeight w:val="104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保障血液质量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保障临床血液供给质量和用血安全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保障临床血液供给质量和用血安全</w:t>
            </w:r>
          </w:p>
        </w:tc>
      </w:tr>
      <w:tr>
        <w:tblPrEx>
          <w:tblCellMar>
            <w:top w:w="0" w:type="dxa"/>
            <w:left w:w="0" w:type="dxa"/>
            <w:bottom w:w="0" w:type="dxa"/>
            <w:right w:w="0" w:type="dxa"/>
          </w:tblCellMar>
        </w:tblPrEx>
        <w:trPr>
          <w:trHeight w:val="104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2020年完成</w:t>
            </w:r>
          </w:p>
        </w:tc>
      </w:tr>
      <w:tr>
        <w:tblPrEx>
          <w:tblCellMar>
            <w:top w:w="0" w:type="dxa"/>
            <w:left w:w="0" w:type="dxa"/>
            <w:bottom w:w="0" w:type="dxa"/>
            <w:right w:w="0" w:type="dxa"/>
          </w:tblCellMar>
        </w:tblPrEx>
        <w:trPr>
          <w:trHeight w:val="104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参与无偿献血的公民者逐年增加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无偿献血者增加≥5%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无偿献血者增加≥5%</w:t>
            </w:r>
          </w:p>
        </w:tc>
      </w:tr>
      <w:tr>
        <w:tblPrEx>
          <w:tblCellMar>
            <w:top w:w="0" w:type="dxa"/>
            <w:left w:w="0" w:type="dxa"/>
            <w:bottom w:w="0" w:type="dxa"/>
            <w:right w:w="0" w:type="dxa"/>
          </w:tblCellMar>
        </w:tblPrEx>
        <w:trPr>
          <w:trHeight w:val="129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保障采供血未来事业发展临床用血及时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长期保障、临床用血安全保障率≥99%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长期保障、临床用血安全保障率≥99%</w:t>
            </w:r>
          </w:p>
        </w:tc>
      </w:tr>
      <w:tr>
        <w:tblPrEx>
          <w:tblCellMar>
            <w:top w:w="0" w:type="dxa"/>
            <w:left w:w="0" w:type="dxa"/>
            <w:bottom w:w="0" w:type="dxa"/>
            <w:right w:w="0" w:type="dxa"/>
          </w:tblCellMar>
        </w:tblPrEx>
        <w:trPr>
          <w:trHeight w:val="1050"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献血者满意度≥96%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献血者满意度≥96%</w:t>
            </w:r>
          </w:p>
        </w:tc>
      </w:tr>
      <w:tr>
        <w:tblPrEx>
          <w:tblCellMar>
            <w:top w:w="0" w:type="dxa"/>
            <w:left w:w="0" w:type="dxa"/>
            <w:bottom w:w="0" w:type="dxa"/>
            <w:right w:w="0" w:type="dxa"/>
          </w:tblCellMar>
        </w:tblPrEx>
        <w:trPr>
          <w:trHeight w:val="1050" w:hRule="atLeast"/>
          <w:jc w:val="center"/>
        </w:trPr>
        <w:tc>
          <w:tcPr>
            <w:tcW w:w="582"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用血者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献血者满意度≥96%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献血者满意度≥96%</w:t>
            </w:r>
          </w:p>
        </w:tc>
      </w:tr>
      <w:tr>
        <w:tblPrEx>
          <w:tblCellMar>
            <w:top w:w="0" w:type="dxa"/>
            <w:left w:w="0" w:type="dxa"/>
            <w:bottom w:w="0" w:type="dxa"/>
            <w:right w:w="0" w:type="dxa"/>
          </w:tblCellMar>
        </w:tblPrEx>
        <w:trPr>
          <w:trHeight w:val="1050" w:hRule="atLeast"/>
          <w:jc w:val="center"/>
        </w:trPr>
        <w:tc>
          <w:tcPr>
            <w:tcW w:w="582"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医疗机构满意度≥95%</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年部门整体支出绩效评价情况开展自评，《巴中市无偿献血工作领导小组办公室</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widowControl/>
        <w:jc w:val="center"/>
        <w:rPr>
          <w:rStyle w:val="19"/>
          <w:rFonts w:ascii="黑体" w:hAnsi="黑体" w:eastAsia="黑体"/>
          <w:bCs w:val="0"/>
          <w:color w:val="000000"/>
        </w:rPr>
      </w:pPr>
      <w:r>
        <w:rPr>
          <w:rFonts w:ascii="仿宋_GB2312" w:eastAsia="仿宋_GB2312"/>
          <w:b/>
          <w:color w:val="000000"/>
          <w:sz w:val="32"/>
          <w:szCs w:val="32"/>
        </w:rPr>
        <w:br w:type="page"/>
      </w:r>
      <w:bookmarkStart w:id="59" w:name="_Toc15377225"/>
      <w:bookmarkStart w:id="60" w:name="_Toc15396613"/>
      <w:r>
        <w:rPr>
          <w:rFonts w:hint="eastAsia" w:ascii="黑体" w:hAnsi="黑体" w:eastAsia="黑体"/>
          <w:b/>
          <w:color w:val="000000"/>
          <w:sz w:val="44"/>
          <w:szCs w:val="44"/>
        </w:rPr>
        <w:t xml:space="preserve">第三部分 </w:t>
      </w:r>
      <w:r>
        <w:rPr>
          <w:rStyle w:val="19"/>
          <w:rFonts w:hint="eastAsia" w:ascii="黑体" w:hAnsi="黑体" w:eastAsia="黑体"/>
        </w:rPr>
        <w:t>名词解释</w:t>
      </w:r>
      <w:bookmarkEnd w:id="59"/>
      <w:bookmarkEnd w:id="60"/>
    </w:p>
    <w:p>
      <w:pPr>
        <w:pStyle w:val="27"/>
        <w:spacing w:line="56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7"/>
        <w:spacing w:line="560"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7"/>
        <w:spacing w:line="560" w:lineRule="exact"/>
        <w:ind w:firstLine="640" w:firstLineChars="200"/>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7"/>
        <w:spacing w:line="560" w:lineRule="exact"/>
        <w:ind w:firstLine="640" w:firstLineChars="200"/>
        <w:jc w:val="both"/>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7"/>
        <w:spacing w:line="560" w:lineRule="exact"/>
        <w:ind w:firstLine="640" w:firstLineChars="200"/>
        <w:jc w:val="both"/>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jc w:val="both"/>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7"/>
        <w:spacing w:line="560" w:lineRule="exact"/>
        <w:ind w:firstLine="640" w:firstLineChars="200"/>
        <w:jc w:val="both"/>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 xml:space="preserve"> 卫生健康（类）公共卫生（款）</w:t>
      </w:r>
      <w:r>
        <w:rPr>
          <w:rFonts w:hint="eastAsia" w:ascii="仿宋_GB2312" w:eastAsia="仿宋_GB2312"/>
          <w:color w:val="000000"/>
          <w:sz w:val="32"/>
          <w:szCs w:val="32"/>
          <w:lang w:val="en-US" w:eastAsia="zh-CN"/>
        </w:rPr>
        <w:t>其他专业公共卫生</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无偿献血用血退费、采供血招募等业务。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7"/>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lang w:val="en-US" w:eastAsia="zh-CN"/>
        </w:rPr>
        <w:t>11</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lang w:val="en-US" w:eastAsia="zh-CN"/>
        </w:rPr>
        <w:t>12</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hint="eastAsia" w:ascii="仿宋_GB2312" w:eastAsia="仿宋_GB2312"/>
          <w:color w:val="000000"/>
          <w:sz w:val="32"/>
          <w:szCs w:val="32"/>
          <w:lang w:val="en-US" w:eastAsia="zh-CN"/>
        </w:rPr>
      </w:pP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spacing w:line="600" w:lineRule="exact"/>
        <w:jc w:val="center"/>
        <w:outlineLvl w:val="0"/>
        <w:rPr>
          <w:rFonts w:hint="eastAsia" w:ascii="黑体" w:hAnsi="黑体" w:eastAsia="黑体"/>
          <w:color w:val="000000"/>
          <w:sz w:val="44"/>
          <w:szCs w:val="44"/>
        </w:rPr>
      </w:pPr>
      <w:bookmarkStart w:id="61" w:name="_Toc15396614"/>
      <w:bookmarkStart w:id="62"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9"/>
          <w:rFonts w:ascii="黑体" w:hAnsi="黑体" w:eastAsia="黑体"/>
          <w:b w:val="0"/>
        </w:rPr>
      </w:pPr>
      <w:r>
        <w:rPr>
          <w:rFonts w:hint="eastAsia" w:ascii="黑体" w:hAnsi="黑体" w:eastAsia="黑体"/>
          <w:color w:val="000000"/>
          <w:sz w:val="44"/>
          <w:szCs w:val="44"/>
        </w:rPr>
        <w:t>第</w:t>
      </w:r>
      <w:r>
        <w:rPr>
          <w:rStyle w:val="19"/>
          <w:rFonts w:hint="eastAsia" w:ascii="黑体" w:hAnsi="黑体" w:eastAsia="黑体"/>
        </w:rPr>
        <w:t>四部分</w:t>
      </w:r>
      <w:r>
        <w:rPr>
          <w:rStyle w:val="19"/>
          <w:rFonts w:ascii="黑体" w:hAnsi="黑体" w:eastAsia="黑体"/>
        </w:rPr>
        <w:t xml:space="preserve"> </w:t>
      </w:r>
      <w:r>
        <w:rPr>
          <w:rStyle w:val="19"/>
          <w:rFonts w:hint="eastAsia" w:ascii="黑体" w:hAnsi="黑体" w:eastAsia="黑体"/>
        </w:rPr>
        <w:t>附件</w:t>
      </w:r>
      <w:bookmarkEnd w:id="61"/>
    </w:p>
    <w:p>
      <w:pPr>
        <w:spacing w:line="600" w:lineRule="exact"/>
        <w:jc w:val="left"/>
        <w:outlineLvl w:val="0"/>
        <w:rPr>
          <w:rFonts w:ascii="方正小标宋简体" w:hAnsi="宋体" w:eastAsia="方正小标宋简体"/>
          <w:color w:val="000000"/>
          <w:kern w:val="0"/>
          <w:sz w:val="40"/>
          <w:szCs w:val="44"/>
        </w:rPr>
      </w:pPr>
      <w:r>
        <w:rPr>
          <w:rFonts w:hint="eastAsia" w:ascii="黑体" w:hAnsi="黑体" w:eastAsia="黑体" w:cs="黑体"/>
          <w:sz w:val="32"/>
          <w:szCs w:val="32"/>
        </w:rPr>
        <w:t>附件</w:t>
      </w:r>
    </w:p>
    <w:p>
      <w:pPr>
        <w:spacing w:line="600" w:lineRule="exact"/>
        <w:jc w:val="center"/>
        <w:rPr>
          <w:rFonts w:ascii="宋体" w:hAnsi="宋体" w:cs="宋体"/>
          <w:color w:val="000000"/>
          <w:kern w:val="0"/>
          <w:sz w:val="40"/>
          <w:szCs w:val="44"/>
        </w:rPr>
      </w:pPr>
      <w:r>
        <w:rPr>
          <w:rFonts w:hint="eastAsia" w:ascii="宋体" w:hAnsi="宋体" w:cs="宋体"/>
          <w:color w:val="000000"/>
          <w:kern w:val="0"/>
          <w:sz w:val="40"/>
          <w:szCs w:val="44"/>
        </w:rPr>
        <w:t>巴中市无偿献血工作领导小组办公室</w:t>
      </w:r>
    </w:p>
    <w:p>
      <w:pPr>
        <w:spacing w:line="600" w:lineRule="exact"/>
        <w:jc w:val="center"/>
        <w:rPr>
          <w:rFonts w:ascii="方正小标宋简体" w:hAnsi="宋体" w:eastAsia="方正小标宋简体"/>
          <w:color w:val="000000"/>
          <w:kern w:val="0"/>
          <w:sz w:val="40"/>
          <w:szCs w:val="44"/>
          <w:lang w:val="zh-CN"/>
        </w:rPr>
      </w:pPr>
      <w:r>
        <w:rPr>
          <w:rFonts w:hint="eastAsia" w:ascii="宋体" w:hAnsi="宋体" w:cs="宋体"/>
          <w:color w:val="000000"/>
          <w:kern w:val="0"/>
          <w:sz w:val="40"/>
          <w:szCs w:val="44"/>
        </w:rPr>
        <w:t>2020年部门</w:t>
      </w:r>
      <w:r>
        <w:rPr>
          <w:rFonts w:hint="eastAsia" w:ascii="宋体" w:hAnsi="宋体" w:cs="宋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巴中市无偿献血工作领导小组办公室是巴中市卫生健康委员会下属二级预算单位。下属二级单位0个，其中行政单位0个，参照公务员法管理的事业单位</w:t>
      </w:r>
      <w:r>
        <w:rPr>
          <w:rFonts w:hint="eastAsia" w:ascii="仿宋" w:hAnsi="仿宋" w:eastAsia="仿宋"/>
          <w:bCs/>
          <w:color w:val="000000"/>
          <w:sz w:val="32"/>
          <w:szCs w:val="32"/>
        </w:rPr>
        <w:t>0</w:t>
      </w:r>
      <w:r>
        <w:rPr>
          <w:rFonts w:hint="eastAsia" w:ascii="仿宋" w:hAnsi="仿宋" w:eastAsia="仿宋"/>
          <w:color w:val="000000"/>
          <w:sz w:val="32"/>
          <w:szCs w:val="32"/>
        </w:rPr>
        <w:t>个，其他事业单位0个。</w:t>
      </w:r>
    </w:p>
    <w:p>
      <w:pPr>
        <w:pStyle w:val="6"/>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纳入2019年度部门决算编制范围的二级预算单位包括0个。</w:t>
      </w:r>
    </w:p>
    <w:p>
      <w:pPr>
        <w:pStyle w:val="6"/>
        <w:adjustRightInd w:val="0"/>
        <w:snapToGrid w:val="0"/>
        <w:spacing w:before="93" w:line="600" w:lineRule="exact"/>
        <w:ind w:firstLine="672" w:firstLineChars="210"/>
        <w:rPr>
          <w:rFonts w:hAnsi="宋体" w:cs="宋体"/>
          <w:color w:val="000000"/>
          <w:sz w:val="32"/>
          <w:szCs w:val="32"/>
          <w:shd w:val="clear" w:color="auto" w:fill="FFFFFF"/>
          <w:lang w:val="zh-CN"/>
        </w:rPr>
      </w:pPr>
      <w:r>
        <w:rPr>
          <w:rFonts w:hint="eastAsia" w:hAnsi="宋体" w:cs="宋体"/>
          <w:color w:val="000000"/>
          <w:sz w:val="32"/>
          <w:szCs w:val="32"/>
          <w:shd w:val="clear" w:color="auto" w:fill="FFFFFF"/>
          <w:lang w:val="zh-CN"/>
        </w:rPr>
        <w:t>（二）机构职能。</w:t>
      </w:r>
    </w:p>
    <w:p>
      <w:pPr>
        <w:pStyle w:val="6"/>
        <w:adjustRightInd w:val="0"/>
        <w:snapToGrid w:val="0"/>
        <w:spacing w:before="93" w:line="600" w:lineRule="exact"/>
        <w:ind w:firstLine="672" w:firstLineChars="210"/>
        <w:outlineLvl w:val="2"/>
        <w:rPr>
          <w:rFonts w:ascii="仿宋" w:hAnsi="仿宋" w:eastAsia="仿宋"/>
          <w:color w:val="000000"/>
          <w:sz w:val="32"/>
          <w:szCs w:val="32"/>
        </w:rPr>
      </w:pPr>
      <w:r>
        <w:rPr>
          <w:rFonts w:hint="eastAsia" w:ascii="仿宋" w:hAnsi="仿宋" w:eastAsia="仿宋"/>
          <w:color w:val="000000"/>
          <w:sz w:val="32"/>
          <w:szCs w:val="32"/>
        </w:rPr>
        <w:t>巴中市无偿献血工作领导小组办公室是为无偿献血服务的公益单位，是财政全额预算的事业单位，是市卫生健康委员会直属的二级预算单位。</w:t>
      </w:r>
    </w:p>
    <w:p>
      <w:pPr>
        <w:pStyle w:val="6"/>
        <w:adjustRightInd w:val="0"/>
        <w:snapToGrid w:val="0"/>
        <w:spacing w:before="93" w:line="600" w:lineRule="exact"/>
        <w:ind w:firstLine="672" w:firstLineChars="210"/>
        <w:outlineLvl w:val="2"/>
        <w:rPr>
          <w:rFonts w:hAnsi="宋体" w:cs="宋体"/>
          <w:color w:val="000000"/>
          <w:sz w:val="32"/>
          <w:szCs w:val="32"/>
          <w:shd w:val="clear" w:color="auto" w:fill="FFFFFF"/>
          <w:lang w:val="zh-CN"/>
        </w:rPr>
      </w:pPr>
      <w:r>
        <w:rPr>
          <w:rFonts w:hint="eastAsia" w:hAnsi="宋体" w:cs="宋体"/>
          <w:color w:val="00000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巴中市无偿献血工作领导小组办公室无人员信息，相关工作开展均由巴中市中心血站代理。</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年度收入总计816万元。与</w:t>
      </w:r>
      <w:r>
        <w:rPr>
          <w:rFonts w:ascii="仿宋" w:hAnsi="仿宋" w:eastAsia="仿宋"/>
          <w:color w:val="000000"/>
          <w:sz w:val="32"/>
          <w:szCs w:val="32"/>
        </w:rPr>
        <w:t>2019</w:t>
      </w:r>
      <w:r>
        <w:rPr>
          <w:rFonts w:hint="eastAsia" w:ascii="仿宋" w:hAnsi="仿宋" w:eastAsia="仿宋"/>
          <w:color w:val="000000"/>
          <w:sz w:val="32"/>
          <w:szCs w:val="32"/>
        </w:rPr>
        <w:t>年相比，收入总计增加400万元，增长96</w:t>
      </w:r>
      <w:r>
        <w:rPr>
          <w:rFonts w:ascii="仿宋" w:hAnsi="仿宋" w:eastAsia="仿宋"/>
          <w:color w:val="000000"/>
          <w:sz w:val="32"/>
          <w:szCs w:val="32"/>
        </w:rPr>
        <w:t>%</w:t>
      </w:r>
      <w:r>
        <w:rPr>
          <w:rFonts w:hint="eastAsia" w:ascii="仿宋" w:hAnsi="仿宋" w:eastAsia="仿宋"/>
          <w:color w:val="000000"/>
          <w:sz w:val="32"/>
          <w:szCs w:val="32"/>
        </w:rPr>
        <w:t>。2020年度支出总计440万元，结余376万元。主要变动原因是无偿献血用血退费增加。</w:t>
      </w:r>
    </w:p>
    <w:p>
      <w:pPr>
        <w:spacing w:line="60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spacing w:line="600" w:lineRule="exact"/>
        <w:ind w:firstLine="640" w:firstLineChars="200"/>
        <w:outlineLvl w:val="1"/>
        <w:rPr>
          <w:rFonts w:ascii="仿宋_GB2312" w:hAnsi="宋体" w:eastAsia="仿宋_GB2312" w:cs="宋体"/>
          <w:color w:val="000000"/>
          <w:kern w:val="0"/>
          <w:sz w:val="32"/>
          <w:szCs w:val="32"/>
          <w:shd w:val="clear" w:color="auto" w:fill="FFFFFF"/>
          <w:lang w:val="zh-CN"/>
        </w:rPr>
      </w:pPr>
      <w:r>
        <w:rPr>
          <w:rFonts w:ascii="仿宋" w:hAnsi="仿宋" w:eastAsia="仿宋"/>
          <w:color w:val="000000"/>
          <w:sz w:val="32"/>
          <w:szCs w:val="32"/>
        </w:rPr>
        <w:t>2020</w:t>
      </w:r>
      <w:r>
        <w:rPr>
          <w:rFonts w:hint="eastAsia" w:ascii="仿宋" w:hAnsi="仿宋" w:eastAsia="仿宋"/>
          <w:color w:val="000000"/>
          <w:sz w:val="32"/>
          <w:szCs w:val="32"/>
        </w:rPr>
        <w:t>年本年支出合计440万元，其中：基本支出0万元，占0</w:t>
      </w:r>
      <w:r>
        <w:rPr>
          <w:rFonts w:ascii="仿宋" w:hAnsi="仿宋" w:eastAsia="仿宋"/>
          <w:color w:val="000000"/>
          <w:sz w:val="32"/>
          <w:szCs w:val="32"/>
        </w:rPr>
        <w:t>%</w:t>
      </w:r>
      <w:r>
        <w:rPr>
          <w:rFonts w:hint="eastAsia" w:ascii="仿宋" w:hAnsi="仿宋" w:eastAsia="仿宋"/>
          <w:color w:val="000000"/>
          <w:sz w:val="32"/>
          <w:szCs w:val="32"/>
        </w:rPr>
        <w:t>；项目支出440万元，占0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 w:hAnsi="仿宋" w:eastAsia="仿宋"/>
          <w:color w:val="000000"/>
          <w:sz w:val="32"/>
          <w:szCs w:val="32"/>
        </w:rPr>
      </w:pPr>
      <w:r>
        <w:rPr>
          <w:rFonts w:hint="eastAsia" w:ascii="仿宋" w:hAnsi="仿宋" w:eastAsia="仿宋"/>
          <w:color w:val="000000"/>
          <w:sz w:val="32"/>
          <w:szCs w:val="32"/>
        </w:rPr>
        <w:t>根据财政相关规定巴中市中心血站严格进行绩效目标管理，通过建立合理完善的制度体系和高效有序的运转流程，部门整体支出的经济性、效率性、有效性和可持续性都明显增强，切实提升了本部门整体支出效益，有力推动了各项工作开展，实现了部门预算管理总体目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 w:hAnsi="仿宋" w:eastAsia="仿宋"/>
          <w:color w:val="000000"/>
          <w:sz w:val="32"/>
          <w:szCs w:val="32"/>
        </w:rPr>
        <w:t>按照预算绩效管理要求，本部门对2020年一般公共预算项目支出开展了绩效目标管理，共编制绩效目标4个，涉及财政资金816万元，覆盖率达到100％。</w:t>
      </w:r>
      <w:r>
        <w:rPr>
          <w:rFonts w:hint="eastAsia" w:ascii="仿宋_GB2312" w:hAnsi="宋体" w:eastAsia="仿宋_GB2312" w:cs="宋体"/>
          <w:color w:val="000000"/>
          <w:kern w:val="0"/>
          <w:sz w:val="32"/>
          <w:szCs w:val="32"/>
          <w:shd w:val="clear" w:color="auto" w:fill="FFFFFF"/>
        </w:rPr>
        <w:t>绩效目标自评按规定如实公开。</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巴中市无偿献血工作领导小组办公室在预算执行、预算管理等方面表现良好，履行相关职责按相关规定完成工作。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预算编制及执行监控有待提升，内控制度需进一步结合实际完善。</w:t>
      </w:r>
    </w:p>
    <w:p>
      <w:pPr>
        <w:widowControl/>
        <w:adjustRightInd w:val="0"/>
        <w:snapToGrid w:val="0"/>
        <w:spacing w:line="580" w:lineRule="exact"/>
        <w:ind w:firstLine="566" w:firstLineChars="177"/>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加强预算收支管理，加强执行过程中的监管。</w:t>
      </w:r>
    </w:p>
    <w:p>
      <w:pPr>
        <w:spacing w:line="580" w:lineRule="exact"/>
        <w:ind w:firstLine="640" w:firstLineChars="200"/>
        <w:rPr>
          <w:rFonts w:ascii="仿宋_GB2312" w:hAnsi="仿宋_GB2312" w:eastAsia="仿宋_GB2312" w:cs="仿宋_GB2312"/>
          <w:sz w:val="32"/>
          <w:szCs w:val="32"/>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widowControl/>
        <w:jc w:val="left"/>
        <w:rPr>
          <w:rStyle w:val="19"/>
          <w:rFonts w:ascii="黑体" w:hAnsi="黑体" w:eastAsia="黑体"/>
          <w:b w:val="0"/>
        </w:rPr>
      </w:pPr>
    </w:p>
    <w:p>
      <w:pPr>
        <w:spacing w:line="600" w:lineRule="exact"/>
        <w:jc w:val="center"/>
        <w:outlineLvl w:val="0"/>
        <w:rPr>
          <w:rStyle w:val="19"/>
          <w:rFonts w:ascii="黑体" w:hAnsi="黑体" w:eastAsia="黑体"/>
          <w:b w:val="0"/>
        </w:rPr>
      </w:pPr>
      <w:bookmarkStart w:id="63" w:name="_Toc15396618"/>
      <w:r>
        <w:rPr>
          <w:rFonts w:hint="eastAsia" w:ascii="黑体" w:hAnsi="黑体" w:eastAsia="黑体"/>
          <w:color w:val="000000"/>
          <w:sz w:val="44"/>
          <w:szCs w:val="44"/>
        </w:rPr>
        <w:t>第</w:t>
      </w:r>
      <w:r>
        <w:rPr>
          <w:rStyle w:val="19"/>
          <w:rFonts w:hint="eastAsia" w:ascii="黑体" w:hAnsi="黑体" w:eastAsia="黑体"/>
        </w:rPr>
        <w:t>五部分</w:t>
      </w:r>
      <w:r>
        <w:rPr>
          <w:rStyle w:val="19"/>
          <w:rFonts w:ascii="黑体" w:hAnsi="黑体" w:eastAsia="黑体"/>
        </w:rPr>
        <w:t xml:space="preserve"> </w:t>
      </w:r>
      <w:r>
        <w:rPr>
          <w:rStyle w:val="19"/>
          <w:rFonts w:hint="eastAsia" w:ascii="黑体" w:hAnsi="黑体" w:eastAsia="黑体"/>
        </w:rPr>
        <w:t>附表</w:t>
      </w:r>
      <w:bookmarkEnd w:id="62"/>
      <w:bookmarkEnd w:id="63"/>
    </w:p>
    <w:p>
      <w:pPr>
        <w:spacing w:line="600" w:lineRule="exact"/>
        <w:jc w:val="center"/>
        <w:outlineLvl w:val="0"/>
        <w:rPr>
          <w:rFonts w:ascii="仿宋" w:hAnsi="仿宋" w:eastAsia="仿宋"/>
          <w:b/>
          <w:color w:val="000000"/>
          <w:sz w:val="44"/>
          <w:szCs w:val="44"/>
        </w:rPr>
      </w:pPr>
    </w:p>
    <w:p>
      <w:pPr>
        <w:pStyle w:val="3"/>
        <w:spacing w:before="0" w:after="0" w:line="700" w:lineRule="exact"/>
        <w:rPr>
          <w:rFonts w:ascii="仿宋" w:hAnsi="仿宋" w:eastAsia="仿宋"/>
          <w:color w:val="000000"/>
        </w:rPr>
      </w:pPr>
      <w:bookmarkStart w:id="64" w:name="_Toc15396619"/>
      <w:r>
        <w:rPr>
          <w:rFonts w:hint="eastAsia" w:ascii="仿宋" w:hAnsi="仿宋" w:eastAsia="仿宋"/>
          <w:b w:val="0"/>
          <w:color w:val="000000"/>
        </w:rPr>
        <w:t>一、收</w:t>
      </w:r>
      <w:r>
        <w:rPr>
          <w:rStyle w:val="20"/>
          <w:rFonts w:hint="eastAsia" w:ascii="仿宋" w:hAnsi="仿宋" w:eastAsia="仿宋"/>
          <w:b w:val="0"/>
          <w:bCs w:val="0"/>
        </w:rPr>
        <w:t>入支出决算总表</w:t>
      </w:r>
      <w:bookmarkEnd w:id="64"/>
    </w:p>
    <w:p>
      <w:pPr>
        <w:pStyle w:val="3"/>
        <w:spacing w:before="0" w:after="0" w:line="700" w:lineRule="exact"/>
        <w:rPr>
          <w:rFonts w:ascii="仿宋" w:hAnsi="仿宋" w:eastAsia="仿宋"/>
          <w:color w:val="000000"/>
        </w:rPr>
      </w:pPr>
      <w:bookmarkStart w:id="65" w:name="_Toc15396620"/>
      <w:r>
        <w:rPr>
          <w:rFonts w:hint="eastAsia" w:ascii="仿宋" w:hAnsi="仿宋" w:eastAsia="仿宋"/>
          <w:b w:val="0"/>
          <w:color w:val="000000"/>
        </w:rPr>
        <w:t>二、收</w:t>
      </w:r>
      <w:r>
        <w:rPr>
          <w:rStyle w:val="20"/>
          <w:rFonts w:hint="eastAsia" w:ascii="仿宋" w:hAnsi="仿宋" w:eastAsia="仿宋"/>
          <w:b w:val="0"/>
          <w:bCs w:val="0"/>
        </w:rPr>
        <w:t>入决算表</w:t>
      </w:r>
      <w:bookmarkEnd w:id="65"/>
    </w:p>
    <w:p>
      <w:pPr>
        <w:pStyle w:val="3"/>
        <w:spacing w:before="0" w:after="0" w:line="700" w:lineRule="exact"/>
        <w:rPr>
          <w:rFonts w:ascii="仿宋" w:hAnsi="仿宋" w:eastAsia="仿宋"/>
          <w:color w:val="000000"/>
        </w:rPr>
      </w:pPr>
      <w:bookmarkStart w:id="66" w:name="_Toc15396621"/>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66"/>
    </w:p>
    <w:p>
      <w:pPr>
        <w:pStyle w:val="3"/>
        <w:spacing w:before="0" w:after="0" w:line="700" w:lineRule="exact"/>
        <w:rPr>
          <w:rFonts w:ascii="仿宋" w:hAnsi="仿宋" w:eastAsia="仿宋"/>
          <w:b w:val="0"/>
          <w:color w:val="000000"/>
        </w:rPr>
      </w:pPr>
      <w:bookmarkStart w:id="67" w:name="_Toc1539662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67"/>
    </w:p>
    <w:p>
      <w:pPr>
        <w:pStyle w:val="3"/>
        <w:spacing w:before="0" w:after="0" w:line="700" w:lineRule="exact"/>
        <w:rPr>
          <w:rStyle w:val="20"/>
          <w:rFonts w:ascii="仿宋" w:hAnsi="仿宋" w:eastAsia="仿宋"/>
          <w:b w:val="0"/>
          <w:bCs w:val="0"/>
        </w:rPr>
      </w:pPr>
      <w:bookmarkStart w:id="68" w:name="_Toc15396623"/>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68"/>
      <w:bookmarkStart w:id="69" w:name="_Toc15396624"/>
    </w:p>
    <w:p>
      <w:pPr>
        <w:pStyle w:val="3"/>
        <w:spacing w:before="0" w:after="0" w:line="700" w:lineRule="exact"/>
        <w:rPr>
          <w:rFonts w:ascii="仿宋" w:hAnsi="仿宋" w:eastAsia="仿宋"/>
          <w:color w:val="000000"/>
        </w:rPr>
      </w:pPr>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69"/>
    </w:p>
    <w:p>
      <w:pPr>
        <w:pStyle w:val="3"/>
        <w:spacing w:before="0" w:after="0" w:line="700" w:lineRule="exact"/>
        <w:rPr>
          <w:rFonts w:ascii="仿宋" w:hAnsi="仿宋" w:eastAsia="仿宋"/>
          <w:color w:val="000000"/>
        </w:rPr>
      </w:pPr>
      <w:bookmarkStart w:id="70" w:name="_Toc1539662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70"/>
    </w:p>
    <w:p>
      <w:pPr>
        <w:pStyle w:val="3"/>
        <w:spacing w:before="0" w:after="0" w:line="700" w:lineRule="exact"/>
        <w:rPr>
          <w:rFonts w:ascii="仿宋" w:hAnsi="仿宋" w:eastAsia="仿宋"/>
          <w:color w:val="000000"/>
        </w:rPr>
      </w:pPr>
      <w:bookmarkStart w:id="71" w:name="_Toc15396626"/>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71"/>
    </w:p>
    <w:p>
      <w:pPr>
        <w:pStyle w:val="3"/>
        <w:spacing w:before="0" w:after="0" w:line="700" w:lineRule="exact"/>
        <w:rPr>
          <w:rFonts w:ascii="仿宋" w:hAnsi="仿宋" w:eastAsia="仿宋"/>
          <w:color w:val="000000"/>
        </w:rPr>
      </w:pPr>
      <w:bookmarkStart w:id="72" w:name="_Toc15396627"/>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72"/>
    </w:p>
    <w:p>
      <w:pPr>
        <w:pStyle w:val="3"/>
        <w:spacing w:before="0" w:after="0" w:line="700" w:lineRule="exact"/>
        <w:rPr>
          <w:rFonts w:ascii="仿宋" w:hAnsi="仿宋" w:eastAsia="仿宋"/>
          <w:color w:val="000000"/>
        </w:rPr>
      </w:pPr>
      <w:bookmarkStart w:id="73" w:name="_Toc15396628"/>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73"/>
    </w:p>
    <w:p>
      <w:pPr>
        <w:pStyle w:val="3"/>
        <w:spacing w:before="0" w:after="0" w:line="700" w:lineRule="exact"/>
        <w:rPr>
          <w:rFonts w:ascii="仿宋" w:hAnsi="仿宋" w:eastAsia="仿宋"/>
          <w:color w:val="000000"/>
        </w:rPr>
      </w:pPr>
      <w:bookmarkStart w:id="74" w:name="_Toc15396629"/>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74"/>
    </w:p>
    <w:p>
      <w:pPr>
        <w:pStyle w:val="3"/>
        <w:spacing w:before="0" w:after="0" w:line="700" w:lineRule="exact"/>
        <w:rPr>
          <w:rFonts w:ascii="仿宋" w:hAnsi="仿宋" w:eastAsia="仿宋"/>
          <w:color w:val="000000"/>
        </w:rPr>
      </w:pPr>
      <w:bookmarkStart w:id="75" w:name="_Toc15396630"/>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75"/>
    </w:p>
    <w:p>
      <w:pPr>
        <w:pStyle w:val="3"/>
        <w:spacing w:before="0" w:after="0" w:line="700" w:lineRule="exact"/>
        <w:rPr>
          <w:rStyle w:val="20"/>
          <w:rFonts w:ascii="仿宋" w:hAnsi="仿宋" w:eastAsia="仿宋"/>
          <w:b w:val="0"/>
          <w:bCs w:val="0"/>
        </w:rPr>
      </w:pPr>
      <w:bookmarkStart w:id="76" w:name="_Toc15396631"/>
      <w:r>
        <w:rPr>
          <w:rStyle w:val="20"/>
          <w:rFonts w:hint="eastAsia" w:ascii="仿宋" w:hAnsi="仿宋" w:eastAsia="仿宋"/>
          <w:b w:val="0"/>
          <w:bCs w:val="0"/>
        </w:rPr>
        <w:t>十三、国有资本经营预算财政拨款收入支出决算表</w:t>
      </w:r>
    </w:p>
    <w:p>
      <w:pPr>
        <w:pStyle w:val="3"/>
        <w:spacing w:before="0" w:after="0" w:line="700" w:lineRule="exact"/>
        <w:jc w:val="left"/>
        <w:rPr>
          <w:rFonts w:ascii="仿宋" w:hAnsi="仿宋" w:eastAsia="仿宋"/>
          <w:color w:val="000000"/>
        </w:rPr>
      </w:pPr>
      <w:r>
        <w:rPr>
          <w:rStyle w:val="20"/>
          <w:rFonts w:hint="eastAsia" w:ascii="仿宋" w:hAnsi="仿宋" w:eastAsia="仿宋"/>
          <w:b w:val="0"/>
          <w:bCs w:val="0"/>
        </w:rPr>
        <w:t>十四、</w:t>
      </w:r>
      <w:r>
        <w:rPr>
          <w:rFonts w:hint="eastAsia" w:ascii="仿宋" w:hAnsi="仿宋" w:eastAsia="仿宋"/>
          <w:b w:val="0"/>
          <w:color w:val="000000"/>
        </w:rPr>
        <w:t>国</w:t>
      </w:r>
      <w:r>
        <w:rPr>
          <w:rStyle w:val="20"/>
          <w:rFonts w:hint="eastAsia" w:ascii="仿宋" w:hAnsi="仿宋" w:eastAsia="仿宋"/>
          <w:b w:val="0"/>
          <w:bCs w:val="0"/>
        </w:rPr>
        <w:t>有资本经营预算财政拨款支出决算表</w:t>
      </w:r>
      <w:bookmarkEnd w:id="76"/>
    </w:p>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038682094"/>
    </w:sdtPr>
    <w:sdtEndPr>
      <w:rPr>
        <w:sz w:val="28"/>
        <w:szCs w:val="28"/>
      </w:rPr>
    </w:sdtEndPr>
    <w:sdtContent>
      <w:p>
        <w:pPr>
          <w:pStyle w:val="9"/>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18 -</w:t>
        </w:r>
        <w:r>
          <w:rPr>
            <w:sz w:val="28"/>
            <w:szCs w:val="28"/>
          </w:rPr>
          <w:fldChar w:fldCharType="end"/>
        </w:r>
      </w:p>
    </w:sdtContent>
  </w:sdt>
  <w:p>
    <w:pPr>
      <w:pStyle w:val="9"/>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6E"/>
    <w:rsid w:val="00026C65"/>
    <w:rsid w:val="000F2EB7"/>
    <w:rsid w:val="00195254"/>
    <w:rsid w:val="001B116B"/>
    <w:rsid w:val="00214EE6"/>
    <w:rsid w:val="003A4277"/>
    <w:rsid w:val="004B3764"/>
    <w:rsid w:val="00506586"/>
    <w:rsid w:val="005E5377"/>
    <w:rsid w:val="00662607"/>
    <w:rsid w:val="006A5CF8"/>
    <w:rsid w:val="006F474D"/>
    <w:rsid w:val="007A39B7"/>
    <w:rsid w:val="008C2EDF"/>
    <w:rsid w:val="008D6343"/>
    <w:rsid w:val="009F22E4"/>
    <w:rsid w:val="00A81A99"/>
    <w:rsid w:val="00A9449D"/>
    <w:rsid w:val="00C3382D"/>
    <w:rsid w:val="00C46054"/>
    <w:rsid w:val="00C505D3"/>
    <w:rsid w:val="00CD546E"/>
    <w:rsid w:val="00D167CE"/>
    <w:rsid w:val="00D4422B"/>
    <w:rsid w:val="00D85A9A"/>
    <w:rsid w:val="01824CF3"/>
    <w:rsid w:val="02880598"/>
    <w:rsid w:val="02FA1FE7"/>
    <w:rsid w:val="03BA33DF"/>
    <w:rsid w:val="063C35F4"/>
    <w:rsid w:val="06670FB7"/>
    <w:rsid w:val="06CA01D1"/>
    <w:rsid w:val="06F806FF"/>
    <w:rsid w:val="07616CEF"/>
    <w:rsid w:val="09FD61DD"/>
    <w:rsid w:val="0A540C20"/>
    <w:rsid w:val="0C562386"/>
    <w:rsid w:val="0E003197"/>
    <w:rsid w:val="0F2B6DD9"/>
    <w:rsid w:val="0F4A3F3D"/>
    <w:rsid w:val="0FCB775E"/>
    <w:rsid w:val="10AD6AFF"/>
    <w:rsid w:val="122A7C26"/>
    <w:rsid w:val="12EB660D"/>
    <w:rsid w:val="134A567A"/>
    <w:rsid w:val="135A1DC5"/>
    <w:rsid w:val="1383092E"/>
    <w:rsid w:val="14F80076"/>
    <w:rsid w:val="156E7819"/>
    <w:rsid w:val="164A6D38"/>
    <w:rsid w:val="17266501"/>
    <w:rsid w:val="18262D5A"/>
    <w:rsid w:val="19A64217"/>
    <w:rsid w:val="19D7125D"/>
    <w:rsid w:val="1B120F16"/>
    <w:rsid w:val="1B737EE4"/>
    <w:rsid w:val="1BEC0E0D"/>
    <w:rsid w:val="1C3529FB"/>
    <w:rsid w:val="1CBF1C8E"/>
    <w:rsid w:val="1D6F019C"/>
    <w:rsid w:val="1F002D67"/>
    <w:rsid w:val="1F4C487D"/>
    <w:rsid w:val="1F6773EC"/>
    <w:rsid w:val="20892147"/>
    <w:rsid w:val="20F61DB0"/>
    <w:rsid w:val="23152AD5"/>
    <w:rsid w:val="23195883"/>
    <w:rsid w:val="23710D52"/>
    <w:rsid w:val="248A38C3"/>
    <w:rsid w:val="248D719B"/>
    <w:rsid w:val="24AC7F43"/>
    <w:rsid w:val="25684C52"/>
    <w:rsid w:val="25F8752A"/>
    <w:rsid w:val="273B3E65"/>
    <w:rsid w:val="282824F1"/>
    <w:rsid w:val="28317FAD"/>
    <w:rsid w:val="2836280D"/>
    <w:rsid w:val="284E6ECA"/>
    <w:rsid w:val="2A974084"/>
    <w:rsid w:val="2A9B0CF7"/>
    <w:rsid w:val="2B6D5D30"/>
    <w:rsid w:val="2D6D227F"/>
    <w:rsid w:val="2EBE7143"/>
    <w:rsid w:val="2EC15E65"/>
    <w:rsid w:val="2EEB5A11"/>
    <w:rsid w:val="2F646A3B"/>
    <w:rsid w:val="2FD22585"/>
    <w:rsid w:val="30A3470B"/>
    <w:rsid w:val="30E2607F"/>
    <w:rsid w:val="3123216C"/>
    <w:rsid w:val="31BC7C45"/>
    <w:rsid w:val="323D4F20"/>
    <w:rsid w:val="33376567"/>
    <w:rsid w:val="3431402A"/>
    <w:rsid w:val="357334DC"/>
    <w:rsid w:val="35F40BDB"/>
    <w:rsid w:val="37F90710"/>
    <w:rsid w:val="38301126"/>
    <w:rsid w:val="39A35817"/>
    <w:rsid w:val="3A563124"/>
    <w:rsid w:val="3B03105A"/>
    <w:rsid w:val="3B8B7148"/>
    <w:rsid w:val="3CA9623F"/>
    <w:rsid w:val="3E812E6A"/>
    <w:rsid w:val="3EE173B5"/>
    <w:rsid w:val="401E3D60"/>
    <w:rsid w:val="403751C0"/>
    <w:rsid w:val="428D7AAA"/>
    <w:rsid w:val="43920912"/>
    <w:rsid w:val="44193E67"/>
    <w:rsid w:val="462D6A53"/>
    <w:rsid w:val="462F0EE9"/>
    <w:rsid w:val="46D86BB6"/>
    <w:rsid w:val="479732DD"/>
    <w:rsid w:val="484A2540"/>
    <w:rsid w:val="48674BB1"/>
    <w:rsid w:val="486F377F"/>
    <w:rsid w:val="4A5E055B"/>
    <w:rsid w:val="4AD95DD5"/>
    <w:rsid w:val="4AF221F4"/>
    <w:rsid w:val="4B685303"/>
    <w:rsid w:val="4D4262DC"/>
    <w:rsid w:val="4E3B0B17"/>
    <w:rsid w:val="500B29F8"/>
    <w:rsid w:val="502D21A0"/>
    <w:rsid w:val="50777D79"/>
    <w:rsid w:val="50EF6200"/>
    <w:rsid w:val="513D482B"/>
    <w:rsid w:val="51BD646B"/>
    <w:rsid w:val="52130388"/>
    <w:rsid w:val="52B5626F"/>
    <w:rsid w:val="52F61B60"/>
    <w:rsid w:val="533B2615"/>
    <w:rsid w:val="53DC7354"/>
    <w:rsid w:val="54F552CA"/>
    <w:rsid w:val="550D06BD"/>
    <w:rsid w:val="57161CBF"/>
    <w:rsid w:val="571D1BF9"/>
    <w:rsid w:val="58F02C25"/>
    <w:rsid w:val="59FB04F9"/>
    <w:rsid w:val="5A0D2EA8"/>
    <w:rsid w:val="5A6975C3"/>
    <w:rsid w:val="5A6D686D"/>
    <w:rsid w:val="5B6417F3"/>
    <w:rsid w:val="5C4222D9"/>
    <w:rsid w:val="5D875B30"/>
    <w:rsid w:val="5E043501"/>
    <w:rsid w:val="5FB175EB"/>
    <w:rsid w:val="5FC85914"/>
    <w:rsid w:val="60637B98"/>
    <w:rsid w:val="610851AC"/>
    <w:rsid w:val="610F3EF7"/>
    <w:rsid w:val="61493F58"/>
    <w:rsid w:val="63FB670D"/>
    <w:rsid w:val="64157D14"/>
    <w:rsid w:val="643C3A73"/>
    <w:rsid w:val="64421A29"/>
    <w:rsid w:val="644E2E32"/>
    <w:rsid w:val="64B86AB4"/>
    <w:rsid w:val="64E71FBA"/>
    <w:rsid w:val="65326361"/>
    <w:rsid w:val="65D06A5D"/>
    <w:rsid w:val="67A6535D"/>
    <w:rsid w:val="68571DB9"/>
    <w:rsid w:val="686B6D9A"/>
    <w:rsid w:val="68B83111"/>
    <w:rsid w:val="68F631AB"/>
    <w:rsid w:val="69743F48"/>
    <w:rsid w:val="6B346547"/>
    <w:rsid w:val="6B757CF1"/>
    <w:rsid w:val="6B88677C"/>
    <w:rsid w:val="6BC730D9"/>
    <w:rsid w:val="6BFC7E9D"/>
    <w:rsid w:val="6D153CAA"/>
    <w:rsid w:val="6D891D30"/>
    <w:rsid w:val="6E533576"/>
    <w:rsid w:val="6E9E246D"/>
    <w:rsid w:val="6F47282D"/>
    <w:rsid w:val="6F69225D"/>
    <w:rsid w:val="714B089F"/>
    <w:rsid w:val="7220017E"/>
    <w:rsid w:val="72E74B21"/>
    <w:rsid w:val="73C43156"/>
    <w:rsid w:val="747E427F"/>
    <w:rsid w:val="748819F2"/>
    <w:rsid w:val="753C6DA0"/>
    <w:rsid w:val="76BA61AC"/>
    <w:rsid w:val="775D6448"/>
    <w:rsid w:val="7A533B38"/>
    <w:rsid w:val="7A6A3F97"/>
    <w:rsid w:val="7AB9488E"/>
    <w:rsid w:val="7C296835"/>
    <w:rsid w:val="7E2F0291"/>
    <w:rsid w:val="7F450C8B"/>
    <w:rsid w:val="7FCF2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22"/>
    <w:qFormat/>
    <w:uiPriority w:val="99"/>
    <w:pPr>
      <w:spacing w:beforeLines="30"/>
    </w:pPr>
    <w:rPr>
      <w:rFonts w:ascii="仿宋_GB2312" w:eastAsia="仿宋_GB2312"/>
      <w:kern w:val="0"/>
      <w:sz w:val="24"/>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3"/>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rFonts w:cs="Times New Roman"/>
      <w:b/>
    </w:rPr>
  </w:style>
  <w:style w:type="character" w:styleId="16">
    <w:name w:val="Hyperlink"/>
    <w:basedOn w:val="14"/>
    <w:unhideWhenUsed/>
    <w:qFormat/>
    <w:uiPriority w:val="99"/>
    <w:rPr>
      <w:rFonts w:cs="Times New Roman"/>
      <w:color w:val="0000FF"/>
      <w:u w:val="single"/>
    </w:rPr>
  </w:style>
  <w:style w:type="character" w:customStyle="1" w:styleId="17">
    <w:name w:val="页眉 Char"/>
    <w:basedOn w:val="14"/>
    <w:link w:val="10"/>
    <w:semiHidden/>
    <w:qFormat/>
    <w:uiPriority w:val="99"/>
    <w:rPr>
      <w:sz w:val="18"/>
      <w:szCs w:val="18"/>
    </w:rPr>
  </w:style>
  <w:style w:type="character" w:customStyle="1" w:styleId="18">
    <w:name w:val="页脚 Char"/>
    <w:basedOn w:val="14"/>
    <w:link w:val="9"/>
    <w:qFormat/>
    <w:uiPriority w:val="99"/>
    <w:rPr>
      <w:sz w:val="18"/>
      <w:szCs w:val="18"/>
    </w:rPr>
  </w:style>
  <w:style w:type="character" w:customStyle="1" w:styleId="19">
    <w:name w:val="标题 1 Char"/>
    <w:basedOn w:val="14"/>
    <w:link w:val="2"/>
    <w:qFormat/>
    <w:uiPriority w:val="9"/>
    <w:rPr>
      <w:rFonts w:ascii="Times New Roman" w:hAnsi="Times New Roman" w:eastAsia="宋体" w:cs="Times New Roman"/>
      <w:b/>
      <w:bCs/>
      <w:kern w:val="44"/>
      <w:sz w:val="44"/>
      <w:szCs w:val="44"/>
    </w:rPr>
  </w:style>
  <w:style w:type="character" w:customStyle="1" w:styleId="20">
    <w:name w:val="标题 2 Char"/>
    <w:basedOn w:val="14"/>
    <w:link w:val="3"/>
    <w:qFormat/>
    <w:uiPriority w:val="9"/>
    <w:rPr>
      <w:rFonts w:ascii="Cambria" w:hAnsi="Cambria" w:eastAsia="宋体" w:cs="Times New Roman"/>
      <w:b/>
      <w:bCs/>
      <w:sz w:val="32"/>
      <w:szCs w:val="32"/>
    </w:rPr>
  </w:style>
  <w:style w:type="character" w:customStyle="1" w:styleId="21">
    <w:name w:val="标题 3 Char"/>
    <w:basedOn w:val="14"/>
    <w:link w:val="4"/>
    <w:qFormat/>
    <w:uiPriority w:val="9"/>
    <w:rPr>
      <w:rFonts w:ascii="Times New Roman" w:hAnsi="Times New Roman" w:eastAsia="宋体" w:cs="Times New Roman"/>
      <w:b/>
      <w:bCs/>
      <w:sz w:val="32"/>
      <w:szCs w:val="32"/>
    </w:rPr>
  </w:style>
  <w:style w:type="character" w:customStyle="1" w:styleId="22">
    <w:name w:val="正文文本 Char"/>
    <w:basedOn w:val="14"/>
    <w:link w:val="6"/>
    <w:qFormat/>
    <w:uiPriority w:val="99"/>
    <w:rPr>
      <w:rFonts w:ascii="仿宋_GB2312" w:hAnsi="Times New Roman" w:eastAsia="仿宋_GB2312" w:cs="Times New Roman"/>
      <w:kern w:val="0"/>
      <w:sz w:val="24"/>
      <w:szCs w:val="20"/>
    </w:rPr>
  </w:style>
  <w:style w:type="character" w:customStyle="1" w:styleId="23">
    <w:name w:val="批注框文本 Char"/>
    <w:basedOn w:val="14"/>
    <w:link w:val="8"/>
    <w:qFormat/>
    <w:uiPriority w:val="99"/>
    <w:rPr>
      <w:rFonts w:ascii="Times New Roman" w:hAnsi="Times New Roman" w:eastAsia="宋体" w:cs="Times New Roman"/>
      <w:sz w:val="18"/>
      <w:szCs w:val="18"/>
    </w:rPr>
  </w:style>
  <w:style w:type="character" w:customStyle="1" w:styleId="24">
    <w:name w:val="Char Char3"/>
    <w:qFormat/>
    <w:locked/>
    <w:uiPriority w:val="99"/>
    <w:rPr>
      <w:rFonts w:ascii="仿宋_GB2312" w:hAnsi="Times New Roman" w:eastAsia="仿宋_GB2312"/>
      <w:sz w:val="24"/>
    </w:rPr>
  </w:style>
  <w:style w:type="character" w:customStyle="1" w:styleId="25">
    <w:name w:val="Char Char1"/>
    <w:qFormat/>
    <w:locked/>
    <w:uiPriority w:val="99"/>
    <w:rPr>
      <w:sz w:val="18"/>
    </w:rPr>
  </w:style>
  <w:style w:type="character" w:customStyle="1" w:styleId="26">
    <w:name w:val="Char Char"/>
    <w:semiHidden/>
    <w:qFormat/>
    <w:locked/>
    <w:uiPriority w:val="99"/>
    <w:rPr>
      <w:sz w:val="18"/>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1">
    <w:name w:val="List Paragraph"/>
    <w:basedOn w:val="1"/>
    <w:qFormat/>
    <w:uiPriority w:val="34"/>
    <w:pPr>
      <w:ind w:firstLine="420" w:firstLineChars="200"/>
    </w:pPr>
  </w:style>
  <w:style w:type="character" w:customStyle="1" w:styleId="32">
    <w:name w:val="正文文本 Char1"/>
    <w:basedOn w:val="14"/>
    <w:qFormat/>
    <w:uiPriority w:val="99"/>
    <w:rPr>
      <w:rFonts w:ascii="Times New Roman" w:hAnsi="Times New Roman" w:cs="Times New Roman"/>
      <w:sz w:val="24"/>
      <w:szCs w:val="24"/>
    </w:rPr>
  </w:style>
  <w:style w:type="character" w:customStyle="1" w:styleId="33">
    <w:name w:val="页脚 Char1"/>
    <w:basedOn w:val="14"/>
    <w:semiHidden/>
    <w:qFormat/>
    <w:uiPriority w:val="99"/>
    <w:rPr>
      <w:rFonts w:ascii="Times New Roman" w:hAnsi="Times New Roman" w:cs="Times New Roman"/>
      <w:sz w:val="18"/>
      <w:szCs w:val="18"/>
    </w:rPr>
  </w:style>
  <w:style w:type="character" w:customStyle="1" w:styleId="34">
    <w:name w:val="页眉 Char1"/>
    <w:basedOn w:val="14"/>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374011008075"/>
          <c:y val="0.0384857892763404"/>
          <c:w val="0.646543908113099"/>
          <c:h val="0.675869516310461"/>
        </c:manualLayout>
      </c:layout>
      <c:barChart>
        <c:barDir val="col"/>
        <c:grouping val="clustered"/>
        <c:varyColors val="0"/>
        <c:ser>
          <c:idx val="0"/>
          <c:order val="0"/>
          <c:tx>
            <c:strRef>
              <c:f>Sheet1!$B$1</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仿宋" panose="02010609060101010101" charset="-122"/>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Sheet1!$B$2:$B$3</c:f>
              <c:numCache>
                <c:formatCode>General</c:formatCode>
                <c:ptCount val="2"/>
                <c:pt idx="0">
                  <c:v>416</c:v>
                </c:pt>
                <c:pt idx="1">
                  <c:v>816</c:v>
                </c:pt>
              </c:numCache>
            </c:numRef>
          </c:val>
        </c:ser>
        <c:ser>
          <c:idx val="1"/>
          <c:order val="1"/>
          <c:tx>
            <c:strRef>
              <c:f>Sheet1!$C$1</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仿宋" panose="02010609060101010101" charset="-122"/>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Sheet1!$C$2:$C$3</c:f>
              <c:numCache>
                <c:formatCode>General</c:formatCode>
                <c:ptCount val="2"/>
                <c:pt idx="0">
                  <c:v>416</c:v>
                </c:pt>
                <c:pt idx="1">
                  <c:v>440</c:v>
                </c:pt>
              </c:numCache>
            </c:numRef>
          </c:val>
        </c:ser>
        <c:dLbls>
          <c:showLegendKey val="0"/>
          <c:showVal val="1"/>
          <c:showCatName val="0"/>
          <c:showSerName val="0"/>
          <c:showPercent val="0"/>
          <c:showBubbleSize val="0"/>
        </c:dLbls>
        <c:gapWidth val="150"/>
        <c:axId val="144594432"/>
        <c:axId val="144607872"/>
      </c:barChart>
      <c:catAx>
        <c:axId val="1445944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crossAx val="144607872"/>
        <c:crosses val="autoZero"/>
        <c:auto val="1"/>
        <c:lblAlgn val="ctr"/>
        <c:lblOffset val="100"/>
        <c:noMultiLvlLbl val="0"/>
      </c:catAx>
      <c:valAx>
        <c:axId val="1446078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594432"/>
        <c:crosses val="autoZero"/>
        <c:crossBetween val="between"/>
      </c:valAx>
    </c:plotArea>
    <c:legend>
      <c:legendPos val="r"/>
      <c:layout>
        <c:manualLayout>
          <c:xMode val="edge"/>
          <c:yMode val="edge"/>
          <c:x val="0"/>
          <c:y val="0.862343307086614"/>
          <c:w val="0.996398960243141"/>
          <c:h val="0.136265766779153"/>
        </c:manualLayout>
      </c:layout>
      <c:overlay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
    <c:plotVisOnly val="1"/>
    <c:dispBlanksAs val="gap"/>
    <c:showDLblsOverMax val="0"/>
  </c:chart>
  <c:spPr>
    <a:noFill/>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22393450517698"/>
          <c:y val="0.0246647652015634"/>
          <c:w val="0.55500966003136"/>
          <c:h val="0.719401282270057"/>
        </c:manualLayout>
      </c:layout>
      <c:pieChart>
        <c:varyColors val="1"/>
        <c:ser>
          <c:idx val="0"/>
          <c:order val="0"/>
          <c:tx>
            <c:strRef>
              <c:f>Sheet1!$B$1</c:f>
              <c:strCache>
                <c:ptCount val="1"/>
                <c:pt idx="0">
                  <c:v>  </c:v>
                </c:pt>
              </c:strCache>
            </c:strRef>
          </c:tx>
          <c:explosion val="0"/>
          <c:dPt>
            <c:idx val="0"/>
            <c:bubble3D val="0"/>
          </c:dPt>
          <c:dLbls>
            <c:dLbl>
              <c:idx val="0"/>
              <c:layout>
                <c:manualLayout>
                  <c:x val="0.0559836262942451"/>
                  <c:y val="-0.3345195729537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solidFill>
                    <a:latin typeface="仿宋" panose="02010609060101010101" charset="-122"/>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c:v>
                </c:pt>
              </c:strCache>
            </c:strRef>
          </c:cat>
          <c:val>
            <c:numRef>
              <c:f>Sheet1!$B$2</c:f>
              <c:numCache>
                <c:formatCode>General</c:formatCode>
                <c:ptCount val="1"/>
                <c:pt idx="0">
                  <c:v>816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
          <c:y val="0.808292468779481"/>
          <c:w val="0.984359470717497"/>
          <c:h val="0.148131607388086"/>
        </c:manualLayout>
      </c:layout>
      <c:overlay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67132193595"/>
          <c:y val="0.0485156922952199"/>
          <c:w val="0.617181583941786"/>
          <c:h val="0.705655306600189"/>
        </c:manualLayout>
      </c:layout>
      <c:pieChart>
        <c:varyColors val="1"/>
        <c:ser>
          <c:idx val="0"/>
          <c:order val="0"/>
          <c:tx>
            <c:strRef>
              <c:f>Sheet1!$B$1</c:f>
              <c:strCache>
                <c:ptCount val="1"/>
                <c:pt idx="0">
                  <c:v>   </c:v>
                </c:pt>
              </c:strCache>
            </c:strRef>
          </c:tx>
          <c:spPr>
            <a:solidFill>
              <a:srgbClr val="C0504D"/>
            </a:solidFill>
          </c:spPr>
          <c:explosion val="0"/>
          <c:dPt>
            <c:idx val="0"/>
            <c:bubble3D val="0"/>
            <c:spPr>
              <a:solidFill>
                <a:srgbClr val="C0504D"/>
              </a:solidFill>
            </c:spPr>
          </c:dPt>
          <c:dLbls>
            <c:dLbl>
              <c:idx val="0"/>
              <c:layout>
                <c:manualLayout>
                  <c:x val="0.0270888514326993"/>
                  <c:y val="-0.45173745173745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仿宋" panose="02010609060101010101" charset="-122"/>
                    <a:ea typeface="仿宋" panose="02010609060101010101" charset="-122"/>
                    <a:cs typeface="仿宋" panose="02010609060101010101" charset="-122"/>
                    <a:sym typeface="仿宋" panose="0201060906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项目支出</c:v>
                </c:pt>
              </c:strCache>
            </c:strRef>
          </c:cat>
          <c:val>
            <c:numRef>
              <c:f>Sheet1!$B$2</c:f>
              <c:numCache>
                <c:formatCode>General</c:formatCode>
                <c:ptCount val="1"/>
                <c:pt idx="0">
                  <c:v>440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仿宋" panose="02010609060101010101" charset="-122"/>
                <a:sym typeface="仿宋" panose="02010609060101010101" charset="-122"/>
              </a:defRPr>
            </a:pPr>
          </a:p>
        </c:txPr>
      </c:legendEntry>
      <c:layout>
        <c:manualLayout>
          <c:xMode val="edge"/>
          <c:yMode val="edge"/>
          <c:x val="0"/>
          <c:y val="0.846703351270281"/>
          <c:w val="0.99831447146641"/>
          <c:h val="0.152156862745098"/>
        </c:manualLayout>
      </c:layout>
      <c:overlay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仿宋" panose="02010609060101010101" charset="-122"/>
              <a:sym typeface="仿宋" panose="02010609060101010101" charset="-122"/>
            </a:defRPr>
          </a:pPr>
        </a:p>
      </c:txPr>
    </c:legend>
    <c:plotVisOnly val="1"/>
    <c:dispBlanksAs val="gap"/>
    <c:showDLblsOverMax val="0"/>
  </c:chart>
  <c:txPr>
    <a:bodyPr/>
    <a:lstStyle/>
    <a:p>
      <a:pPr>
        <a:defRPr lang="zh-CN" sz="1200">
          <a:latin typeface="仿宋" panose="02010609060101010101" charset="-122"/>
          <a:ea typeface="仿宋" panose="02010609060101010101" charset="-122"/>
          <a:cs typeface="仿宋" panose="02010609060101010101" charset="-122"/>
          <a:sym typeface="仿宋" panose="0201060906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439746620885"/>
          <c:y val="0.0618321586206219"/>
          <c:w val="0.675438682974645"/>
          <c:h val="0.752885149284137"/>
        </c:manualLayout>
      </c:layout>
      <c:barChart>
        <c:barDir val="col"/>
        <c:grouping val="clustered"/>
        <c:varyColors val="0"/>
        <c:ser>
          <c:idx val="0"/>
          <c:order val="0"/>
          <c:tx>
            <c:strRef>
              <c:f>Sheet1!$B$1</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仿宋" panose="02010609060101010101" charset="-122"/>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Sheet1!$B$2:$B$3</c:f>
              <c:numCache>
                <c:formatCode>General</c:formatCode>
                <c:ptCount val="2"/>
                <c:pt idx="0">
                  <c:v>416</c:v>
                </c:pt>
                <c:pt idx="1">
                  <c:v>816</c:v>
                </c:pt>
              </c:numCache>
            </c:numRef>
          </c:val>
        </c:ser>
        <c:ser>
          <c:idx val="1"/>
          <c:order val="1"/>
          <c:tx>
            <c:strRef>
              <c:f>Sheet1!$C$1</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仿宋" panose="02010609060101010101" charset="-122"/>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Sheet1!$C$2:$C$3</c:f>
              <c:numCache>
                <c:formatCode>General</c:formatCode>
                <c:ptCount val="2"/>
                <c:pt idx="0">
                  <c:v>416</c:v>
                </c:pt>
                <c:pt idx="1">
                  <c:v>440</c:v>
                </c:pt>
              </c:numCache>
            </c:numRef>
          </c:val>
        </c:ser>
        <c:dLbls>
          <c:showLegendKey val="0"/>
          <c:showVal val="1"/>
          <c:showCatName val="0"/>
          <c:showSerName val="0"/>
          <c:showPercent val="0"/>
          <c:showBubbleSize val="0"/>
        </c:dLbls>
        <c:gapWidth val="150"/>
        <c:axId val="157205632"/>
        <c:axId val="157207552"/>
      </c:barChart>
      <c:catAx>
        <c:axId val="1572056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crossAx val="157207552"/>
        <c:crosses val="autoZero"/>
        <c:auto val="1"/>
        <c:lblAlgn val="ctr"/>
        <c:lblOffset val="100"/>
        <c:noMultiLvlLbl val="0"/>
      </c:catAx>
      <c:valAx>
        <c:axId val="157207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7205632"/>
        <c:crosses val="autoZero"/>
        <c:crossBetween val="between"/>
      </c:valAx>
    </c:plotArea>
    <c:legend>
      <c:legendPos val="r"/>
      <c:layout>
        <c:manualLayout>
          <c:xMode val="edge"/>
          <c:yMode val="edge"/>
          <c:x val="0.852395858415603"/>
          <c:y val="0.207710440689296"/>
          <c:w val="0.144003101827538"/>
          <c:h val="0.425074428873286"/>
        </c:manualLayout>
      </c:layout>
      <c:overlay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
    <c:plotVisOnly val="1"/>
    <c:dispBlanksAs val="gap"/>
    <c:showDLblsOverMax val="0"/>
  </c:chart>
  <c:spPr>
    <a:noFill/>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597704723461"/>
          <c:y val="0.0416559293724648"/>
          <c:w val="0.556063636760069"/>
          <c:h val="0.80760359500517"/>
        </c:manualLayout>
      </c:layout>
      <c:barChart>
        <c:barDir val="col"/>
        <c:grouping val="clustered"/>
        <c:varyColors val="0"/>
        <c:ser>
          <c:idx val="0"/>
          <c:order val="0"/>
          <c:tx>
            <c:strRef>
              <c:f>Sheet1!$B$1</c:f>
              <c:strCache>
                <c:ptCount val="1"/>
                <c:pt idx="0">
                  <c:v>支出总额</c:v>
                </c:pt>
              </c:strCache>
            </c:strRef>
          </c:tx>
          <c:spPr>
            <a:solidFill>
              <a:srgbClr val="C0504D"/>
            </a:solidFill>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仿宋" panose="02010609060101010101" charset="-122"/>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Sheet1!$B$2:$B$3</c:f>
              <c:numCache>
                <c:formatCode>General</c:formatCode>
                <c:ptCount val="2"/>
                <c:pt idx="0">
                  <c:v>416</c:v>
                </c:pt>
                <c:pt idx="1">
                  <c:v>440</c:v>
                </c:pt>
              </c:numCache>
            </c:numRef>
          </c:val>
        </c:ser>
        <c:dLbls>
          <c:showLegendKey val="0"/>
          <c:showVal val="1"/>
          <c:showCatName val="0"/>
          <c:showSerName val="0"/>
          <c:showPercent val="0"/>
          <c:showBubbleSize val="0"/>
        </c:dLbls>
        <c:gapWidth val="150"/>
        <c:axId val="161585408"/>
        <c:axId val="161636352"/>
      </c:barChart>
      <c:catAx>
        <c:axId val="1615854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仿宋" panose="02010609060101010101" charset="-122"/>
                <a:ea typeface="仿宋" panose="02010609060101010101" charset="-122"/>
                <a:cs typeface="+mn-cs"/>
              </a:defRPr>
            </a:pPr>
          </a:p>
        </c:txPr>
        <c:crossAx val="161636352"/>
        <c:crosses val="autoZero"/>
        <c:auto val="1"/>
        <c:lblAlgn val="ctr"/>
        <c:lblOffset val="100"/>
        <c:noMultiLvlLbl val="0"/>
      </c:catAx>
      <c:valAx>
        <c:axId val="1616363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1585408"/>
        <c:crosses val="autoZero"/>
        <c:crossBetween val="between"/>
      </c:valAx>
    </c:plotArea>
    <c:legend>
      <c:legendPos val="r"/>
      <c:layout>
        <c:manualLayout>
          <c:xMode val="edge"/>
          <c:yMode val="edge"/>
          <c:x val="0.777556116345077"/>
          <c:y val="0.38151753758053"/>
          <c:w val="0.207996496224151"/>
          <c:h val="0.176358466555317"/>
        </c:manualLayout>
      </c:layout>
      <c:overlay val="0"/>
      <c:txPr>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553816518179629"/>
          <c:y val="0.107175481017629"/>
          <c:w val="0.672563235759749"/>
          <c:h val="0.705132370264741"/>
        </c:manualLayout>
      </c:layout>
      <c:pieChart>
        <c:varyColors val="1"/>
        <c:ser>
          <c:idx val="0"/>
          <c:order val="0"/>
          <c:tx>
            <c:strRef>
              <c:f>Sheet1!$B$1</c:f>
              <c:strCache>
                <c:ptCount val="1"/>
                <c:pt idx="0">
                  <c:v>  </c:v>
                </c:pt>
              </c:strCache>
            </c:strRef>
          </c:tx>
          <c:spPr>
            <a:solidFill>
              <a:srgbClr val="C0504D"/>
            </a:solidFill>
          </c:spPr>
          <c:explosion val="0"/>
          <c:dPt>
            <c:idx val="0"/>
            <c:bubble3D val="0"/>
            <c:spPr>
              <a:solidFill>
                <a:srgbClr val="C0504D"/>
              </a:solidFill>
            </c:spPr>
          </c:dPt>
          <c:dLbls>
            <c:dLbl>
              <c:idx val="0"/>
              <c:layout>
                <c:manualLayout>
                  <c:x val="-0.0858612785369078"/>
                  <c:y val="-0.489626288973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solidFill>
                    <a:latin typeface="仿宋" panose="02010609060101010101" charset="-122"/>
                    <a:ea typeface="仿宋" panose="02010609060101010101" charset="-122"/>
                    <a:cs typeface="仿宋" panose="02010609060101010101" charset="-122"/>
                    <a:sym typeface="仿宋" panose="0201060906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卫生健康支出</c:v>
                </c:pt>
              </c:strCache>
            </c:strRef>
          </c:cat>
          <c:val>
            <c:numRef>
              <c:f>Sheet1!$B$2</c:f>
              <c:numCache>
                <c:formatCode>General</c:formatCode>
                <c:ptCount val="1"/>
                <c:pt idx="0">
                  <c:v>440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52949674933783"/>
          <c:y val="0.349566644726685"/>
          <c:w val="0.247050325066217"/>
          <c:h val="0.104251968503937"/>
        </c:manualLayout>
      </c:layout>
      <c:overlay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6DF2A2-C87A-40A5-9510-B06BE02F7D3B}">
  <ds:schemaRefs/>
</ds:datastoreItem>
</file>

<file path=docProps/app.xml><?xml version="1.0" encoding="utf-8"?>
<Properties xmlns="http://schemas.openxmlformats.org/officeDocument/2006/extended-properties" xmlns:vt="http://schemas.openxmlformats.org/officeDocument/2006/docPropsVTypes">
  <Template>Normal</Template>
  <Pages>26</Pages>
  <Words>1743</Words>
  <Characters>9936</Characters>
  <Lines>82</Lines>
  <Paragraphs>23</Paragraphs>
  <TotalTime>1</TotalTime>
  <ScaleCrop>false</ScaleCrop>
  <LinksUpToDate>false</LinksUpToDate>
  <CharactersWithSpaces>11656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2021-09-13T02:06:00Z</dcterms:created>
  <dc:creator>Lenovo</dc:creator>
  <cp:lastModifiedBy>李俊瑛</cp:lastModifiedBy>
  <cp:lastPrinted>2021-09-13T01:56:00Z</cp:lastPrinted>
  <dcterms:modified xsi:type="dcterms:W3CDTF">2021-09-14T07:02:04Z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A470C3EF511A42F3BC2435627FD0C3C7</vt:lpwstr>
  </property>
</Properties>
</file>