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方正小标宋简体" w:hAnsi="宋体" w:eastAsia="方正小标宋简体" w:cs="Times New Roman"/>
          <w:color w:val="000000"/>
          <w:sz w:val="30"/>
          <w:szCs w:val="30"/>
        </w:rPr>
      </w:pPr>
      <w:bookmarkStart w:id="0" w:name="_Toc15306267"/>
      <w:r>
        <w:rPr>
          <w:rFonts w:hint="eastAsia" w:ascii="方正小标宋简体" w:hAnsi="宋体" w:eastAsia="方正小标宋简体" w:cs="Times New Roman"/>
          <w:color w:val="000000"/>
          <w:sz w:val="30"/>
          <w:szCs w:val="30"/>
        </w:rPr>
        <w:t>附件4</w:t>
      </w: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黑体" w:hAnsi="黑体" w:eastAsia="黑体" w:cs="Times New Roman"/>
          <w:color w:val="000000"/>
          <w:sz w:val="72"/>
          <w:szCs w:val="72"/>
        </w:rPr>
      </w:pPr>
      <w:bookmarkStart w:id="1" w:name="_Toc15396597"/>
      <w:bookmarkStart w:id="2" w:name="_Toc15396475"/>
      <w:bookmarkStart w:id="3" w:name="_Toc15377193"/>
      <w:bookmarkStart w:id="4" w:name="_Toc15378441"/>
      <w:bookmarkStart w:id="5" w:name="_Toc15377425"/>
      <w:r>
        <w:rPr>
          <w:rFonts w:hint="eastAsia" w:ascii="黑体" w:hAnsi="黑体" w:eastAsia="黑体" w:cs="Times New Roman"/>
          <w:color w:val="000000"/>
          <w:sz w:val="72"/>
          <w:szCs w:val="72"/>
        </w:rPr>
        <w:t>2020年度</w:t>
      </w:r>
      <w:bookmarkEnd w:id="1"/>
      <w:bookmarkEnd w:id="2"/>
      <w:bookmarkEnd w:id="3"/>
      <w:bookmarkEnd w:id="4"/>
      <w:bookmarkEnd w:id="5"/>
    </w:p>
    <w:bookmarkEnd w:id="0"/>
    <w:p>
      <w:pPr>
        <w:adjustRightInd w:val="0"/>
        <w:snapToGrid w:val="0"/>
        <w:spacing w:line="360" w:lineRule="auto"/>
        <w:jc w:val="center"/>
        <w:outlineLvl w:val="0"/>
        <w:rPr>
          <w:rFonts w:ascii="黑体" w:hAnsi="黑体" w:eastAsia="黑体" w:cs="Times New Roman"/>
          <w:color w:val="000000"/>
          <w:sz w:val="72"/>
          <w:szCs w:val="72"/>
        </w:rPr>
      </w:pPr>
      <w:bookmarkStart w:id="6" w:name="_Toc15377194"/>
      <w:bookmarkStart w:id="7" w:name="_Toc15377426"/>
      <w:bookmarkStart w:id="8" w:name="_Toc15378442"/>
      <w:bookmarkStart w:id="9" w:name="_Toc15396598"/>
      <w:bookmarkStart w:id="10" w:name="_Toc15306268"/>
      <w:bookmarkStart w:id="11" w:name="_Toc15396476"/>
      <w:r>
        <w:rPr>
          <w:rFonts w:hint="eastAsia" w:ascii="黑体" w:hAnsi="黑体" w:eastAsia="黑体" w:cs="Times New Roman"/>
          <w:color w:val="000000"/>
          <w:sz w:val="72"/>
          <w:szCs w:val="72"/>
        </w:rPr>
        <w:t>巴中市中心血站部门决算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10"/>
      </w:pPr>
      <w:r>
        <w:rPr>
          <w:rFonts w:hint="eastAsia"/>
        </w:rPr>
        <w:t>公开时间：</w:t>
      </w:r>
      <w:r>
        <w:t>2021</w:t>
      </w:r>
      <w:r>
        <w:rPr>
          <w:rFonts w:hint="eastAsia"/>
        </w:rPr>
        <w:t xml:space="preserve">年 9 月 </w:t>
      </w:r>
      <w:r>
        <w:rPr>
          <w:rFonts w:hint="eastAsia"/>
          <w:lang w:val="en-US" w:eastAsia="zh-CN"/>
        </w:rPr>
        <w:t>15</w:t>
      </w:r>
      <w:r>
        <w:rPr>
          <w:rFonts w:hint="eastAsia"/>
        </w:rPr>
        <w:t xml:space="preserve"> 日</w:t>
      </w:r>
    </w:p>
    <w:p/>
    <w:p>
      <w:pPr>
        <w:pStyle w:val="10"/>
        <w:adjustRightInd w:val="0"/>
        <w:snapToGrid w:val="0"/>
        <w:spacing w:before="0" w:line="660" w:lineRule="exact"/>
        <w:jc w:val="left"/>
      </w:pPr>
      <w:r>
        <w:rPr>
          <w:rFonts w:hint="eastAsia"/>
        </w:rPr>
        <w:t>第一部分</w:t>
      </w:r>
      <w:r>
        <w:t xml:space="preserve"> </w:t>
      </w:r>
      <w:r>
        <w:rPr>
          <w:rFonts w:hint="eastAsia"/>
        </w:rPr>
        <w:t>部门概况········································ 1</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一、基本职能及主要工作···································· 1</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二、机构设置············································· 10</w:t>
      </w:r>
    </w:p>
    <w:p>
      <w:pPr>
        <w:pStyle w:val="10"/>
        <w:adjustRightInd w:val="0"/>
        <w:snapToGrid w:val="0"/>
        <w:spacing w:before="0" w:line="660" w:lineRule="exact"/>
        <w:jc w:val="left"/>
      </w:pPr>
      <w:r>
        <w:rPr>
          <w:rFonts w:hint="eastAsia"/>
        </w:rPr>
        <w:t>第二部分 2020年度部门决算情况说明······················· 11</w:t>
      </w:r>
    </w:p>
    <w:p>
      <w:pPr>
        <w:pStyle w:val="10"/>
        <w:adjustRightInd w:val="0"/>
        <w:snapToGrid w:val="0"/>
        <w:spacing w:before="0" w:line="660" w:lineRule="exact"/>
        <w:jc w:val="left"/>
      </w:pPr>
      <w:r>
        <w:rPr>
          <w:rFonts w:hint="eastAsia"/>
        </w:rPr>
        <w:t>一、收入支出决算总体情况说明····························· 11</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二、收入决算情况说明······································11</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三、支出决算情况说明····································· 12</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四、财政拨款收入支出决算总体情况说明····················· 13</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五、一般公共预算财政拨款支出决算情况说明··················13</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六、一般公共预算财政拨款基本支出决算情况说明············· 15</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七、</w:t>
      </w:r>
      <w:r>
        <w:rPr>
          <w:rFonts w:ascii="仿宋" w:hAnsi="仿宋" w:eastAsia="仿宋"/>
          <w:sz w:val="28"/>
          <w:szCs w:val="28"/>
        </w:rPr>
        <w:t>“</w:t>
      </w:r>
      <w:r>
        <w:rPr>
          <w:rFonts w:hint="eastAsia" w:ascii="仿宋" w:hAnsi="仿宋" w:eastAsia="仿宋"/>
          <w:sz w:val="28"/>
          <w:szCs w:val="28"/>
        </w:rPr>
        <w:t>三公”经费财政拨款支出决算情况说明···················16</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八、政府性基金预算支出决算情况说明························18</w:t>
      </w:r>
    </w:p>
    <w:p>
      <w:pPr>
        <w:pStyle w:val="11"/>
        <w:adjustRightInd w:val="0"/>
        <w:snapToGrid w:val="0"/>
        <w:spacing w:line="660" w:lineRule="exact"/>
        <w:ind w:left="0" w:leftChars="0"/>
        <w:jc w:val="left"/>
        <w:rPr>
          <w:rFonts w:ascii="仿宋" w:hAnsi="仿宋" w:eastAsia="仿宋"/>
          <w:sz w:val="28"/>
          <w:szCs w:val="28"/>
        </w:rPr>
      </w:pPr>
      <w:r>
        <w:rPr>
          <w:rFonts w:hint="eastAsia" w:ascii="仿宋" w:hAnsi="仿宋" w:eastAsia="仿宋"/>
          <w:sz w:val="28"/>
          <w:szCs w:val="28"/>
        </w:rPr>
        <w:t>九、</w:t>
      </w:r>
      <w:r>
        <w:rPr>
          <w:rFonts w:ascii="仿宋" w:hAnsi="仿宋" w:eastAsia="仿宋"/>
          <w:sz w:val="28"/>
          <w:szCs w:val="28"/>
        </w:rPr>
        <w:t xml:space="preserve"> </w:t>
      </w:r>
      <w:r>
        <w:rPr>
          <w:rFonts w:hint="eastAsia" w:ascii="仿宋" w:hAnsi="仿宋" w:eastAsia="仿宋"/>
          <w:sz w:val="28"/>
          <w:szCs w:val="28"/>
        </w:rPr>
        <w:t>国有资本经营预算支出决算情况说明·····················18</w:t>
      </w:r>
    </w:p>
    <w:p>
      <w:pPr>
        <w:adjustRightInd w:val="0"/>
        <w:snapToGrid w:val="0"/>
        <w:spacing w:line="660" w:lineRule="exact"/>
        <w:jc w:val="left"/>
        <w:rPr>
          <w:rFonts w:ascii="仿宋" w:hAnsi="仿宋" w:eastAsia="仿宋"/>
          <w:sz w:val="28"/>
          <w:szCs w:val="28"/>
        </w:rPr>
      </w:pPr>
      <w:r>
        <w:rPr>
          <w:rStyle w:val="15"/>
          <w:rFonts w:hint="eastAsia" w:ascii="仿宋" w:hAnsi="仿宋" w:eastAsia="仿宋"/>
          <w:color w:val="000000"/>
          <w:sz w:val="28"/>
          <w:szCs w:val="28"/>
          <w:u w:val="none"/>
        </w:rPr>
        <w:t>十、</w:t>
      </w:r>
      <w:r>
        <w:rPr>
          <w:rFonts w:hint="eastAsia" w:ascii="仿宋" w:hAnsi="仿宋" w:eastAsia="仿宋"/>
          <w:sz w:val="28"/>
          <w:szCs w:val="28"/>
        </w:rPr>
        <w:t>其他重要事项的情况说明································18</w:t>
      </w:r>
    </w:p>
    <w:p>
      <w:pPr>
        <w:adjustRightInd w:val="0"/>
        <w:snapToGrid w:val="0"/>
        <w:spacing w:line="660" w:lineRule="exact"/>
        <w:jc w:val="left"/>
        <w:rPr>
          <w:rFonts w:ascii="仿宋" w:hAnsi="仿宋" w:eastAsia="仿宋"/>
          <w:sz w:val="28"/>
          <w:szCs w:val="28"/>
        </w:rPr>
      </w:pPr>
      <w:r>
        <w:rPr>
          <w:rFonts w:hint="eastAsia" w:ascii="仿宋" w:hAnsi="仿宋" w:eastAsia="仿宋"/>
          <w:sz w:val="28"/>
          <w:szCs w:val="28"/>
        </w:rPr>
        <w:t>第三部分</w:t>
      </w:r>
      <w:r>
        <w:rPr>
          <w:rFonts w:ascii="仿宋" w:hAnsi="仿宋" w:eastAsia="仿宋"/>
          <w:sz w:val="28"/>
          <w:szCs w:val="28"/>
        </w:rPr>
        <w:t xml:space="preserve"> </w:t>
      </w:r>
      <w:r>
        <w:rPr>
          <w:rFonts w:hint="eastAsia" w:ascii="仿宋" w:hAnsi="仿宋" w:eastAsia="仿宋"/>
          <w:sz w:val="28"/>
          <w:szCs w:val="28"/>
        </w:rPr>
        <w:t>名词解释······································· 28</w:t>
      </w:r>
    </w:p>
    <w:p>
      <w:pPr>
        <w:pStyle w:val="10"/>
        <w:adjustRightInd w:val="0"/>
        <w:snapToGrid w:val="0"/>
        <w:spacing w:before="0" w:line="660" w:lineRule="exact"/>
        <w:jc w:val="left"/>
      </w:pPr>
      <w:r>
        <w:rPr>
          <w:rFonts w:hint="eastAsia"/>
        </w:rPr>
        <w:t>第四部分</w:t>
      </w:r>
      <w:r>
        <w:t xml:space="preserve"> </w:t>
      </w:r>
      <w:r>
        <w:rPr>
          <w:rFonts w:hint="eastAsia"/>
        </w:rPr>
        <w:t>附件··········································· 31</w:t>
      </w:r>
    </w:p>
    <w:p>
      <w:pPr>
        <w:pStyle w:val="10"/>
        <w:adjustRightInd w:val="0"/>
        <w:snapToGrid w:val="0"/>
        <w:spacing w:before="0" w:line="660" w:lineRule="exact"/>
        <w:jc w:val="left"/>
      </w:pPr>
      <w:r>
        <w:rPr>
          <w:rFonts w:hint="eastAsia"/>
        </w:rPr>
        <w:t>第五部分</w:t>
      </w:r>
      <w:r>
        <w:t xml:space="preserve"> </w:t>
      </w:r>
      <w:r>
        <w:rPr>
          <w:rFonts w:hint="eastAsia"/>
        </w:rPr>
        <w:t>附表··········································· 34</w:t>
      </w:r>
    </w:p>
    <w:p>
      <w:pPr>
        <w:pStyle w:val="10"/>
        <w:adjustRightInd w:val="0"/>
        <w:snapToGrid w:val="0"/>
        <w:spacing w:before="0" w:line="660" w:lineRule="exact"/>
        <w:jc w:val="left"/>
      </w:pPr>
      <w:r>
        <w:rPr>
          <w:rFonts w:hint="eastAsia"/>
        </w:rPr>
        <w:t>一、收入支出决算总表····································· 35</w:t>
      </w:r>
    </w:p>
    <w:p>
      <w:pPr>
        <w:pStyle w:val="10"/>
        <w:adjustRightInd w:val="0"/>
        <w:snapToGrid w:val="0"/>
        <w:spacing w:before="0" w:line="660" w:lineRule="exact"/>
        <w:jc w:val="left"/>
      </w:pPr>
      <w:r>
        <w:rPr>
          <w:rFonts w:hint="eastAsia"/>
        </w:rPr>
        <w:t xml:space="preserve">二、收入决算表··········································· </w:t>
      </w:r>
      <w:r>
        <w:t>3</w:t>
      </w:r>
      <w:r>
        <w:rPr>
          <w:rFonts w:hint="eastAsia"/>
        </w:rPr>
        <w:t>6</w:t>
      </w:r>
    </w:p>
    <w:p>
      <w:pPr>
        <w:pStyle w:val="10"/>
        <w:adjustRightInd w:val="0"/>
        <w:snapToGrid w:val="0"/>
        <w:spacing w:before="0" w:line="660" w:lineRule="exact"/>
        <w:jc w:val="left"/>
      </w:pPr>
      <w:r>
        <w:rPr>
          <w:rFonts w:hint="eastAsia"/>
        </w:rPr>
        <w:t xml:space="preserve">三、支出决算表··········································· </w:t>
      </w:r>
      <w:r>
        <w:t>3</w:t>
      </w:r>
      <w:r>
        <w:rPr>
          <w:rFonts w:hint="eastAsia"/>
        </w:rPr>
        <w:t>7</w:t>
      </w:r>
    </w:p>
    <w:p>
      <w:pPr>
        <w:pStyle w:val="10"/>
        <w:adjustRightInd w:val="0"/>
        <w:snapToGrid w:val="0"/>
        <w:spacing w:before="0" w:line="660" w:lineRule="exact"/>
        <w:jc w:val="left"/>
      </w:pPr>
      <w:r>
        <w:rPr>
          <w:rFonts w:hint="eastAsia"/>
        </w:rPr>
        <w:t xml:space="preserve">四、财政拨款收入支出决算总表····························· </w:t>
      </w:r>
      <w:r>
        <w:t>3</w:t>
      </w:r>
      <w:r>
        <w:rPr>
          <w:rFonts w:hint="eastAsia"/>
        </w:rPr>
        <w:t>8</w:t>
      </w:r>
    </w:p>
    <w:p>
      <w:pPr>
        <w:pStyle w:val="10"/>
        <w:adjustRightInd w:val="0"/>
        <w:snapToGrid w:val="0"/>
        <w:spacing w:before="0" w:line="660" w:lineRule="exact"/>
        <w:jc w:val="left"/>
      </w:pPr>
      <w:r>
        <w:rPr>
          <w:rFonts w:hint="eastAsia"/>
        </w:rPr>
        <w:t xml:space="preserve">五、财政拨款支出决算明细表······························· </w:t>
      </w:r>
      <w:r>
        <w:t>3</w:t>
      </w:r>
      <w:r>
        <w:rPr>
          <w:rFonts w:hint="eastAsia"/>
        </w:rPr>
        <w:t>9</w:t>
      </w:r>
    </w:p>
    <w:p>
      <w:pPr>
        <w:pStyle w:val="10"/>
        <w:adjustRightInd w:val="0"/>
        <w:snapToGrid w:val="0"/>
        <w:spacing w:before="0" w:line="660" w:lineRule="exact"/>
        <w:jc w:val="left"/>
      </w:pPr>
      <w:r>
        <w:rPr>
          <w:rFonts w:hint="eastAsia"/>
        </w:rPr>
        <w:t>六、一般公共预算财政拨款支出决算表······················· 40</w:t>
      </w:r>
    </w:p>
    <w:p>
      <w:pPr>
        <w:pStyle w:val="10"/>
        <w:adjustRightInd w:val="0"/>
        <w:snapToGrid w:val="0"/>
        <w:spacing w:before="0" w:line="660" w:lineRule="exact"/>
        <w:jc w:val="left"/>
      </w:pPr>
      <w:r>
        <w:rPr>
          <w:rFonts w:hint="eastAsia"/>
        </w:rPr>
        <w:t>七、一般公共预算财政拨款支出决算明细表··················· 41</w:t>
      </w:r>
    </w:p>
    <w:p>
      <w:pPr>
        <w:pStyle w:val="10"/>
        <w:adjustRightInd w:val="0"/>
        <w:snapToGrid w:val="0"/>
        <w:spacing w:before="0" w:line="660" w:lineRule="exact"/>
        <w:jc w:val="left"/>
      </w:pPr>
      <w:r>
        <w:rPr>
          <w:rFonts w:hint="eastAsia"/>
        </w:rPr>
        <w:t>八、一般公共预算财政拨款基本支出决算表··················· 42</w:t>
      </w:r>
    </w:p>
    <w:p>
      <w:pPr>
        <w:pStyle w:val="10"/>
        <w:adjustRightInd w:val="0"/>
        <w:snapToGrid w:val="0"/>
        <w:spacing w:before="0" w:line="660" w:lineRule="exact"/>
        <w:jc w:val="left"/>
      </w:pPr>
      <w:r>
        <w:rPr>
          <w:rFonts w:hint="eastAsia"/>
        </w:rPr>
        <w:t>九、一般公共预算财政拨款项目支出决算表··················· 43</w:t>
      </w:r>
    </w:p>
    <w:p>
      <w:pPr>
        <w:pStyle w:val="10"/>
        <w:adjustRightInd w:val="0"/>
        <w:snapToGrid w:val="0"/>
        <w:spacing w:before="0" w:line="660" w:lineRule="exact"/>
        <w:jc w:val="left"/>
      </w:pPr>
      <w:r>
        <w:rPr>
          <w:rFonts w:hint="eastAsia"/>
        </w:rPr>
        <w:t>十、一般公共预算财政拨款“三公”经费支出决算表············· 44</w:t>
      </w:r>
    </w:p>
    <w:p>
      <w:pPr>
        <w:pStyle w:val="10"/>
        <w:adjustRightInd w:val="0"/>
        <w:snapToGrid w:val="0"/>
        <w:spacing w:before="0" w:line="660" w:lineRule="exact"/>
        <w:jc w:val="left"/>
      </w:pPr>
      <w:r>
        <w:rPr>
          <w:rFonts w:hint="eastAsia"/>
        </w:rPr>
        <w:t>十一、政府性基金预算财政拨款收入支出决算表··············· 45</w:t>
      </w:r>
    </w:p>
    <w:p>
      <w:pPr>
        <w:pStyle w:val="10"/>
        <w:adjustRightInd w:val="0"/>
        <w:snapToGrid w:val="0"/>
        <w:spacing w:before="0" w:line="660" w:lineRule="exact"/>
        <w:jc w:val="left"/>
      </w:pPr>
      <w:r>
        <w:rPr>
          <w:rFonts w:hint="eastAsia"/>
        </w:rPr>
        <w:t>十二、政府性基金预算财政拨款“三公”经费支出决算表········· 46</w:t>
      </w:r>
    </w:p>
    <w:p>
      <w:pPr>
        <w:pStyle w:val="10"/>
        <w:adjustRightInd w:val="0"/>
        <w:snapToGrid w:val="0"/>
        <w:spacing w:before="0" w:line="660" w:lineRule="exact"/>
        <w:jc w:val="left"/>
      </w:pPr>
      <w:r>
        <w:rPr>
          <w:rFonts w:hint="eastAsia"/>
        </w:rPr>
        <w:t>十三、国有资本经营预算财政拨款收入支出决算表············· 47</w:t>
      </w:r>
    </w:p>
    <w:p>
      <w:pPr>
        <w:pStyle w:val="10"/>
        <w:adjustRightInd w:val="0"/>
        <w:snapToGrid w:val="0"/>
        <w:spacing w:before="0" w:line="660" w:lineRule="exact"/>
        <w:jc w:val="left"/>
      </w:pPr>
      <w:r>
        <w:rPr>
          <w:rFonts w:hint="eastAsia"/>
        </w:rPr>
        <w:t>十四、国有资本经营预算财政拨款支出决算表················· 48</w:t>
      </w:r>
    </w:p>
    <w:p>
      <w:pPr>
        <w:spacing w:line="700" w:lineRule="exact"/>
        <w:rPr>
          <w:rFonts w:ascii="仿宋" w:hAnsi="仿宋" w:eastAsia="仿宋"/>
          <w:sz w:val="28"/>
          <w:szCs w:val="28"/>
        </w:rPr>
      </w:pPr>
    </w:p>
    <w:p>
      <w:pPr>
        <w:ind w:firstLine="371" w:firstLineChars="177"/>
      </w:pPr>
    </w:p>
    <w:p>
      <w:pPr>
        <w:ind w:firstLine="371" w:firstLineChars="177"/>
      </w:pPr>
    </w:p>
    <w:p>
      <w:pPr>
        <w:sectPr>
          <w:pgSz w:w="11906" w:h="16838"/>
          <w:pgMar w:top="1440" w:right="1800" w:bottom="1440" w:left="1800" w:header="851" w:footer="992" w:gutter="0"/>
          <w:cols w:space="425" w:num="1"/>
          <w:docGrid w:type="lines" w:linePitch="312" w:charSpace="0"/>
        </w:sectPr>
      </w:pPr>
    </w:p>
    <w:p>
      <w:pPr>
        <w:widowControl/>
        <w:spacing w:line="600" w:lineRule="exact"/>
        <w:jc w:val="center"/>
        <w:rPr>
          <w:rStyle w:val="18"/>
          <w:rFonts w:ascii="黑体" w:hAnsi="黑体" w:eastAsia="黑体"/>
          <w:b w:val="0"/>
        </w:rPr>
      </w:pPr>
      <w:r>
        <w:rPr>
          <w:rFonts w:hint="eastAsia" w:ascii="黑体" w:hAnsi="黑体" w:eastAsia="黑体"/>
          <w:b/>
          <w:sz w:val="44"/>
          <w:szCs w:val="44"/>
        </w:rPr>
        <w:t>第一部分</w:t>
      </w:r>
      <w:r>
        <w:rPr>
          <w:rFonts w:ascii="黑体" w:hAnsi="黑体" w:eastAsia="黑体"/>
          <w:b/>
          <w:sz w:val="44"/>
          <w:szCs w:val="44"/>
        </w:rPr>
        <w:t xml:space="preserve"> </w:t>
      </w:r>
      <w:r>
        <w:rPr>
          <w:rStyle w:val="18"/>
          <w:rFonts w:hint="eastAsia" w:ascii="黑体" w:hAnsi="黑体" w:eastAsia="黑体"/>
        </w:rPr>
        <w:t>部门概况</w:t>
      </w:r>
    </w:p>
    <w:p>
      <w:pPr>
        <w:widowControl/>
        <w:spacing w:line="600" w:lineRule="exact"/>
        <w:ind w:firstLine="640" w:firstLineChars="200"/>
        <w:jc w:val="left"/>
        <w:rPr>
          <w:rFonts w:ascii="黑体" w:eastAsia="黑体"/>
          <w:color w:val="000000"/>
          <w:sz w:val="32"/>
          <w:szCs w:val="32"/>
        </w:rPr>
      </w:pPr>
    </w:p>
    <w:p>
      <w:pPr>
        <w:pStyle w:val="3"/>
        <w:spacing w:before="0" w:after="0" w:line="600" w:lineRule="exact"/>
        <w:ind w:firstLine="640" w:firstLineChars="200"/>
        <w:rPr>
          <w:rStyle w:val="19"/>
          <w:rFonts w:ascii="仿宋" w:hAnsi="仿宋" w:eastAsia="仿宋"/>
          <w:b w:val="0"/>
          <w:bCs w:val="0"/>
        </w:rPr>
      </w:pPr>
      <w:bookmarkStart w:id="12" w:name="_Toc15377197"/>
      <w:bookmarkStart w:id="13" w:name="_Toc15396600"/>
      <w:r>
        <w:rPr>
          <w:rFonts w:hint="eastAsia" w:ascii="黑体" w:hAnsi="黑体" w:eastAsia="黑体"/>
          <w:b w:val="0"/>
          <w:color w:val="000000"/>
        </w:rPr>
        <w:t>一、基</w:t>
      </w:r>
      <w:r>
        <w:rPr>
          <w:rStyle w:val="19"/>
          <w:rFonts w:hint="eastAsia" w:ascii="黑体" w:hAnsi="黑体" w:eastAsia="黑体"/>
          <w:b w:val="0"/>
          <w:bCs w:val="0"/>
        </w:rPr>
        <w:t>本职能及主要工作</w:t>
      </w:r>
      <w:bookmarkEnd w:id="12"/>
      <w:bookmarkEnd w:id="13"/>
    </w:p>
    <w:p>
      <w:pPr>
        <w:pStyle w:val="5"/>
        <w:adjustRightInd w:val="0"/>
        <w:snapToGrid w:val="0"/>
        <w:spacing w:beforeLines="0" w:line="600" w:lineRule="exact"/>
        <w:ind w:firstLine="640" w:firstLineChars="200"/>
        <w:outlineLvl w:val="2"/>
        <w:rPr>
          <w:rFonts w:ascii="仿宋" w:hAnsi="仿宋" w:eastAsia="仿宋"/>
          <w:bCs/>
          <w:color w:val="000000"/>
          <w:sz w:val="32"/>
          <w:szCs w:val="32"/>
        </w:rPr>
      </w:pPr>
      <w:bookmarkStart w:id="14" w:name="_Toc15378445"/>
      <w:bookmarkStart w:id="15" w:name="_Toc15377198"/>
      <w:r>
        <w:rPr>
          <w:rFonts w:hint="eastAsia" w:ascii="仿宋" w:hAnsi="仿宋" w:eastAsia="仿宋"/>
          <w:bCs/>
          <w:color w:val="000000"/>
          <w:sz w:val="32"/>
          <w:szCs w:val="32"/>
        </w:rPr>
        <w:t>（一）</w:t>
      </w:r>
      <w:r>
        <w:rPr>
          <w:rFonts w:hint="eastAsia" w:ascii="仿宋" w:hAnsi="仿宋" w:eastAsia="仿宋"/>
          <w:b/>
          <w:color w:val="000000"/>
          <w:sz w:val="32"/>
          <w:szCs w:val="32"/>
        </w:rPr>
        <w:t>主要职能</w:t>
      </w:r>
      <w:r>
        <w:rPr>
          <w:rFonts w:hint="eastAsia" w:ascii="仿宋" w:hAnsi="仿宋" w:eastAsia="仿宋"/>
          <w:bCs/>
          <w:color w:val="000000"/>
          <w:sz w:val="32"/>
          <w:szCs w:val="32"/>
        </w:rPr>
        <w:t>。巴中市中心血站建于2000年6月，2001年7月经原四川省卫生厅批准开展采供血工作，是巴中市唯一的采供血机构。主要职责是承担全市271万余人、90多家医疗机构临床用血。根据《中华人民共和国献血法》，《血站管理办法》等法律法规要求应承担以下职责：按照省级人民政府卫生行政部门的要求，再规定范围内开展无偿献血者的招募、血液的采集与制备、临床用血供血以及医疗用血的业务指导等工作；承担供血区域范围内血液储存的质量控制；对所在行政区域内的中心血库进行质量控制；承担卫生行政部门交办的任务。</w:t>
      </w:r>
    </w:p>
    <w:bookmarkEnd w:id="14"/>
    <w:bookmarkEnd w:id="15"/>
    <w:p>
      <w:pPr>
        <w:pStyle w:val="5"/>
        <w:adjustRightInd w:val="0"/>
        <w:snapToGrid w:val="0"/>
        <w:spacing w:beforeLines="0" w:line="600" w:lineRule="exact"/>
        <w:ind w:firstLine="642" w:firstLineChars="200"/>
        <w:outlineLvl w:val="2"/>
        <w:rPr>
          <w:rFonts w:ascii="仿宋" w:hAnsi="仿宋" w:eastAsia="仿宋"/>
          <w:b/>
          <w:color w:val="000000"/>
          <w:sz w:val="32"/>
          <w:szCs w:val="32"/>
        </w:rPr>
      </w:pPr>
      <w:bookmarkStart w:id="16" w:name="_Toc15378446"/>
      <w:bookmarkStart w:id="17" w:name="_Toc15377199"/>
      <w:r>
        <w:rPr>
          <w:rFonts w:hint="eastAsia" w:ascii="仿宋" w:hAnsi="仿宋" w:eastAsia="仿宋"/>
          <w:b/>
          <w:color w:val="000000"/>
          <w:sz w:val="32"/>
          <w:szCs w:val="32"/>
        </w:rPr>
        <w:t>（二）</w:t>
      </w:r>
      <w:r>
        <w:rPr>
          <w:rFonts w:ascii="仿宋" w:hAnsi="仿宋" w:eastAsia="仿宋"/>
          <w:b/>
          <w:color w:val="000000"/>
          <w:sz w:val="32"/>
          <w:szCs w:val="32"/>
        </w:rPr>
        <w:t>2020</w:t>
      </w:r>
      <w:r>
        <w:rPr>
          <w:rFonts w:hint="eastAsia" w:ascii="仿宋" w:hAnsi="仿宋" w:eastAsia="仿宋"/>
          <w:b/>
          <w:color w:val="000000"/>
          <w:sz w:val="32"/>
          <w:szCs w:val="32"/>
        </w:rPr>
        <w:t>年重点工作完成情况。</w:t>
      </w:r>
      <w:bookmarkEnd w:id="16"/>
      <w:bookmarkEnd w:id="17"/>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themeColor="text1"/>
          <w:sz w:val="32"/>
          <w:szCs w:val="32"/>
          <w14:textFill>
            <w14:solidFill>
              <w14:schemeClr w14:val="tx1"/>
            </w14:solidFill>
          </w14:textFill>
        </w:rPr>
        <w:t>2020年，市中心血站以习近平新时代中国特色社会主义思想为指导，在市委市政府和市卫生健康委的领导下，以保障全市临床用血为首任，着力完成无偿献血核心指标，扎实巩固主题教育成果，同步推进疫情防控和脱贫攻坚，各项工作开展有序。</w:t>
      </w:r>
    </w:p>
    <w:p>
      <w:pPr>
        <w:spacing w:line="600" w:lineRule="exact"/>
        <w:ind w:firstLine="640" w:firstLineChars="200"/>
        <w:rPr>
          <w:rFonts w:ascii="楷体" w:hAnsi="楷体" w:eastAsia="楷体"/>
          <w:color w:val="000000" w:themeColor="text1"/>
          <w:sz w:val="32"/>
          <w:szCs w:val="32"/>
          <w14:textFill>
            <w14:solidFill>
              <w14:schemeClr w14:val="tx1"/>
            </w14:solidFill>
          </w14:textFill>
        </w:rPr>
      </w:pPr>
      <w:bookmarkStart w:id="18" w:name="_Toc15377200"/>
      <w:bookmarkStart w:id="19" w:name="_Toc15396601"/>
      <w:r>
        <w:rPr>
          <w:rFonts w:hint="eastAsia" w:ascii="楷体" w:hAnsi="楷体" w:eastAsia="楷体"/>
          <w:color w:val="000000" w:themeColor="text1"/>
          <w:sz w:val="32"/>
          <w:szCs w:val="32"/>
          <w14:textFill>
            <w14:solidFill>
              <w14:schemeClr w14:val="tx1"/>
            </w14:solidFill>
          </w14:textFill>
        </w:rPr>
        <w:t>（一）</w:t>
      </w:r>
      <w:r>
        <w:rPr>
          <w:rFonts w:hint="eastAsia" w:ascii="楷体" w:hAnsi="楷体" w:eastAsia="楷体"/>
          <w:b/>
          <w:bCs/>
          <w:color w:val="000000" w:themeColor="text1"/>
          <w:sz w:val="32"/>
          <w:szCs w:val="32"/>
          <w14:textFill>
            <w14:solidFill>
              <w14:schemeClr w14:val="tx1"/>
            </w14:solidFill>
          </w14:textFill>
        </w:rPr>
        <w:t>坚持党管大局原则，深化党建引领作用</w:t>
      </w:r>
    </w:p>
    <w:p>
      <w:pPr>
        <w:spacing w:line="600" w:lineRule="exact"/>
        <w:ind w:firstLine="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是强化责任落实，把政治建设放在首位。切实扛牢党政主要负责人“第一责任”、班子成员“一岗双责”，把党建工作与业务工作同部署、同安排、同落实、同考核，确保党建工作落实有力。组织党员干部学习了《关于新形势下党内政治生活的若干准则》《中共中央关于加强党的政治建设的意见》等党章党规，及时学习习近平总书记关于加强党的建设、抓好疫情防控、迎战脱贫攻坚等方面的重要讲话精神，观看了政治理论教育微视频12期，党员领导干部撰写心得体会</w:t>
      </w:r>
      <w:r>
        <w:rPr>
          <w:rFonts w:hint="eastAsia" w:ascii="仿宋" w:hAnsi="仿宋" w:eastAsia="仿宋"/>
          <w:sz w:val="32"/>
          <w:szCs w:val="32"/>
        </w:rPr>
        <w:t>15</w:t>
      </w:r>
      <w:r>
        <w:rPr>
          <w:rFonts w:hint="eastAsia" w:ascii="仿宋" w:hAnsi="仿宋" w:eastAsia="仿宋"/>
          <w:color w:val="000000" w:themeColor="text1"/>
          <w:sz w:val="32"/>
          <w:szCs w:val="32"/>
          <w14:textFill>
            <w14:solidFill>
              <w14:schemeClr w14:val="tx1"/>
            </w14:solidFill>
          </w14:textFill>
        </w:rPr>
        <w:t>篇。</w:t>
      </w:r>
    </w:p>
    <w:p>
      <w:pPr>
        <w:spacing w:line="600" w:lineRule="exact"/>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是强化学习教育，把思想建设抓在经常</w:t>
      </w:r>
      <w:r>
        <w:rPr>
          <w:rFonts w:hint="eastAsia"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严格落实“三会一课”制度，组织党员干部职工及时学习重要会议精神及各项决策部署，通过学习教育，进一步深化思想认识，提高政治站位。本年度已召开支委会19次，开展主题党日活动12次，党员大会4次，党小组会12次，讲党课4次，中心组理论学习6次，职工政治教育学习会</w:t>
      </w:r>
      <w:r>
        <w:rPr>
          <w:rFonts w:hint="eastAsia" w:ascii="仿宋" w:hAnsi="仿宋" w:eastAsia="仿宋"/>
          <w:sz w:val="32"/>
          <w:szCs w:val="32"/>
        </w:rPr>
        <w:t>9次</w:t>
      </w:r>
      <w:r>
        <w:rPr>
          <w:rFonts w:hint="eastAsia" w:ascii="仿宋" w:hAnsi="仿宋" w:eastAsia="仿宋"/>
          <w:color w:val="000000" w:themeColor="text1"/>
          <w:sz w:val="32"/>
          <w:szCs w:val="32"/>
          <w14:textFill>
            <w14:solidFill>
              <w14:schemeClr w14:val="tx1"/>
            </w14:solidFill>
          </w14:textFill>
        </w:rPr>
        <w:t>。本年度接收预备党员2名，发展入党积极分子2名。</w:t>
      </w:r>
    </w:p>
    <w:p>
      <w:pPr>
        <w:spacing w:line="576" w:lineRule="exact"/>
        <w:ind w:firstLine="640" w:firstLineChars="200"/>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三是层层传导压力，落实党风廉政建设责任。</w:t>
      </w:r>
      <w:r>
        <w:rPr>
          <w:rFonts w:hint="eastAsia" w:ascii="仿宋" w:hAnsi="仿宋" w:eastAsia="仿宋"/>
          <w:color w:val="000000" w:themeColor="text1"/>
          <w:sz w:val="32"/>
          <w14:textFill>
            <w14:solidFill>
              <w14:schemeClr w14:val="tx1"/>
            </w14:solidFill>
          </w14:textFill>
        </w:rPr>
        <w:t>本年度已召开6次专题会议研究部署党风廉政建设工作，</w:t>
      </w:r>
      <w:r>
        <w:rPr>
          <w:rFonts w:hint="eastAsia" w:ascii="仿宋" w:hAnsi="仿宋" w:eastAsia="仿宋" w:cs="Calibri"/>
          <w:color w:val="000000"/>
          <w:position w:val="2"/>
          <w:sz w:val="32"/>
          <w:szCs w:val="32"/>
        </w:rPr>
        <w:t>听取了班子成员及科室负责人落实“一岗双责”工作汇报，并进行了党风廉政建设专项检查；</w:t>
      </w:r>
      <w:r>
        <w:rPr>
          <w:rFonts w:hint="eastAsia" w:ascii="仿宋" w:hAnsi="仿宋" w:eastAsia="仿宋"/>
          <w:color w:val="000000" w:themeColor="text1"/>
          <w:sz w:val="32"/>
          <w14:textFill>
            <w14:solidFill>
              <w14:schemeClr w14:val="tx1"/>
            </w14:solidFill>
          </w14:textFill>
        </w:rPr>
        <w:t>组织</w:t>
      </w:r>
      <w:r>
        <w:rPr>
          <w:rFonts w:hint="eastAsia" w:ascii="仿宋" w:hAnsi="仿宋" w:eastAsia="仿宋"/>
          <w:color w:val="000000" w:themeColor="text1"/>
          <w:sz w:val="32"/>
          <w:szCs w:val="32"/>
          <w14:textFill>
            <w14:solidFill>
              <w14:schemeClr w14:val="tx1"/>
            </w14:solidFill>
          </w14:textFill>
        </w:rPr>
        <w:t>观看警示教育片3次，</w:t>
      </w:r>
      <w:r>
        <w:rPr>
          <w:rFonts w:hint="eastAsia" w:ascii="仿宋" w:hAnsi="仿宋" w:eastAsia="仿宋" w:cs="Calibri"/>
          <w:color w:val="000000"/>
          <w:position w:val="2"/>
          <w:sz w:val="32"/>
          <w:szCs w:val="32"/>
        </w:rPr>
        <w:t>组织中层及以上领导干部和关键岗位工作人员到化成法纪教育基地接受法纪、廉政教育1次, 学习了周永开等7名“全国优秀共产党员”先进事迹，</w:t>
      </w:r>
      <w:r>
        <w:rPr>
          <w:rFonts w:hint="eastAsia" w:ascii="仿宋" w:hAnsi="仿宋" w:eastAsia="仿宋"/>
          <w:color w:val="000000" w:themeColor="text1"/>
          <w:sz w:val="32"/>
          <w:szCs w:val="32"/>
          <w14:textFill>
            <w14:solidFill>
              <w14:schemeClr w14:val="tx1"/>
            </w14:solidFill>
          </w14:textFill>
        </w:rPr>
        <w:t>党员领导干部撰写心得体会46篇。</w:t>
      </w:r>
      <w:r>
        <w:rPr>
          <w:rFonts w:hint="eastAsia" w:ascii="仿宋" w:hAnsi="仿宋" w:eastAsia="仿宋"/>
          <w:color w:val="000000" w:themeColor="text1"/>
          <w:sz w:val="32"/>
          <w14:textFill>
            <w14:solidFill>
              <w14:schemeClr w14:val="tx1"/>
            </w14:solidFill>
          </w14:textFill>
        </w:rPr>
        <w:t>班子成员与科室负责人详细梳理了分管领域与科室内的廉政风险点，针对性制定了防控措施，提高预腐成效。</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四是</w:t>
      </w:r>
      <w:r>
        <w:rPr>
          <w:rFonts w:hint="eastAsia" w:ascii="仿宋" w:hAnsi="仿宋" w:eastAsia="仿宋"/>
          <w:color w:val="000000" w:themeColor="text1"/>
          <w:sz w:val="32"/>
          <w:szCs w:val="32"/>
          <w14:textFill>
            <w14:solidFill>
              <w14:schemeClr w14:val="tx1"/>
            </w14:solidFill>
          </w14:textFill>
        </w:rPr>
        <w:t>巩固脱贫成效，全力抓好脱贫攻坚工作。站党支部定期研究脱贫攻坚工作，并到结对帮扶的界牌村和村两委一起研究工作，召开专题会议4次，到界牌村开展慰问、志愿服务活动共计3次。16名帮扶干部2次/月深入朱垭村、北山村、方坝村贫困户家中开展帮扶，对标补短，巩固脱贫成效，扎实做好脱贫攻坚年度收尾工作。</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五是</w:t>
      </w:r>
      <w:r>
        <w:rPr>
          <w:rFonts w:hint="eastAsia" w:ascii="仿宋" w:hAnsi="仿宋" w:eastAsia="仿宋" w:cs="宋体"/>
          <w:color w:val="000000" w:themeColor="text1"/>
          <w:sz w:val="32"/>
          <w:szCs w:val="32"/>
          <w14:textFill>
            <w14:solidFill>
              <w14:schemeClr w14:val="tx1"/>
            </w14:solidFill>
          </w14:textFill>
        </w:rPr>
        <w:t>加强精神文明建设，积极投身志愿服务活动。一是在抗击新冠肺炎疫情中血液保障有力，我站被市委市政府授予“</w:t>
      </w:r>
      <w:r>
        <w:rPr>
          <w:rFonts w:hint="eastAsia" w:ascii="仿宋" w:hAnsi="仿宋" w:eastAsia="仿宋"/>
          <w:sz w:val="32"/>
          <w:szCs w:val="32"/>
        </w:rPr>
        <w:t>巴中市抗击新冠肺炎先进集体”，张勇、陈利被授予“巴中市抗击新冠肺炎疫情先进个人”；二是</w:t>
      </w:r>
      <w:r>
        <w:rPr>
          <w:rFonts w:hint="eastAsia" w:ascii="仿宋" w:hAnsi="仿宋" w:eastAsia="仿宋" w:cs="宋体"/>
          <w:color w:val="000000" w:themeColor="text1"/>
          <w:sz w:val="32"/>
          <w:szCs w:val="32"/>
          <w14:textFill>
            <w14:solidFill>
              <w14:schemeClr w14:val="tx1"/>
            </w14:solidFill>
          </w14:textFill>
        </w:rPr>
        <w:t>积极投身文明城市创建，全站职工积极参与志愿服务活动，在界牌村、养老院、江北广场等地开展志愿服务活动 7次。三是</w:t>
      </w:r>
      <w:r>
        <w:rPr>
          <w:rFonts w:hint="eastAsia" w:ascii="仿宋" w:hAnsi="仿宋" w:eastAsia="仿宋"/>
          <w:color w:val="000000"/>
          <w:sz w:val="32"/>
          <w:szCs w:val="32"/>
        </w:rPr>
        <w:t>深化拓展文明单位创建内容，把提高职工职业道德素养放在创建工作的首位，激励职工干事创业，</w:t>
      </w:r>
      <w:r>
        <w:rPr>
          <w:rFonts w:hint="eastAsia" w:ascii="仿宋" w:hAnsi="仿宋" w:eastAsia="仿宋" w:cs="宋体"/>
          <w:color w:val="000000" w:themeColor="text1"/>
          <w:sz w:val="32"/>
          <w:szCs w:val="32"/>
          <w14:textFill>
            <w14:solidFill>
              <w14:schemeClr w14:val="tx1"/>
            </w14:solidFill>
          </w14:textFill>
        </w:rPr>
        <w:t>本年度顺利通过省级文明单位复查验收。</w:t>
      </w:r>
    </w:p>
    <w:p>
      <w:pPr>
        <w:spacing w:line="576" w:lineRule="exact"/>
        <w:ind w:firstLine="642"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（二）业务管理规范有序，血液供应安全有保障</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一是强化宣传招募，血液采集形势向好。主要通过新闻媒体广泛宣传报道，进一步增加了社会民众对无偿献血知识的了解。全年新闻报道无偿献血</w:t>
      </w:r>
      <w:r>
        <w:rPr>
          <w:rFonts w:hint="eastAsia" w:ascii="仿宋" w:hAnsi="仿宋" w:eastAsia="仿宋"/>
          <w:sz w:val="32"/>
          <w:szCs w:val="32"/>
        </w:rPr>
        <w:t>开展情况30余次，《巴中日报》、微信公众号刊登无偿献血知识70余期，人民网、四川观察、新闻365、无线巴中等新媒体宣传40次，发放宣传资料近13万份。积极组织团体献血，推进无偿献血“六进”工作。2020年共组织团队献血449次，采血13607人次，采血量4850782毫升，占采血量的45.11%，为我市血液供应提供了有力保障。2020年共采血30478人次（50毫升以下全血17袋），比去年同期增长9.05%；采血</w:t>
      </w:r>
      <w:r>
        <w:rPr>
          <w:rFonts w:hint="eastAsia" w:ascii="仿宋" w:hAnsi="仿宋" w:eastAsia="仿宋"/>
          <w:color w:val="000000" w:themeColor="text1"/>
          <w:sz w:val="32"/>
          <w:szCs w:val="32"/>
          <w14:textFill>
            <w14:solidFill>
              <w14:schemeClr w14:val="tx1"/>
            </w14:solidFill>
          </w14:textFill>
        </w:rPr>
        <w:t>量合计10875001ml,比去年同期增长8.27%,其中采集全血29875人次，共10754401ml，采血量比去年同期上升</w:t>
      </w:r>
      <w:r>
        <w:rPr>
          <w:rFonts w:hint="eastAsia" w:ascii="仿宋" w:hAnsi="仿宋" w:eastAsia="仿宋"/>
          <w:sz w:val="32"/>
          <w:szCs w:val="32"/>
        </w:rPr>
        <w:t>7.87</w:t>
      </w:r>
      <w:r>
        <w:rPr>
          <w:rFonts w:hint="eastAsia" w:ascii="仿宋" w:hAnsi="仿宋" w:eastAsia="仿宋" w:cs="仿宋"/>
          <w:sz w:val="32"/>
          <w:szCs w:val="32"/>
        </w:rPr>
        <w:t>%</w:t>
      </w:r>
      <w:r>
        <w:rPr>
          <w:rFonts w:hint="eastAsia" w:ascii="仿宋" w:hAnsi="仿宋" w:eastAsia="仿宋"/>
          <w:color w:val="000000" w:themeColor="text1"/>
          <w:sz w:val="32"/>
          <w:szCs w:val="32"/>
          <w14:textFill>
            <w14:solidFill>
              <w14:schemeClr w14:val="tx1"/>
            </w14:solidFill>
          </w14:textFill>
        </w:rPr>
        <w:t>；单采血小板603人次，共</w:t>
      </w:r>
      <w:r>
        <w:rPr>
          <w:rFonts w:hint="eastAsia" w:ascii="仿宋" w:hAnsi="仿宋" w:eastAsia="仿宋" w:cs="仿宋"/>
          <w:color w:val="000000" w:themeColor="text1"/>
          <w:sz w:val="32"/>
          <w:szCs w:val="32"/>
          <w14:textFill>
            <w14:solidFill>
              <w14:schemeClr w14:val="tx1"/>
            </w14:solidFill>
          </w14:textFill>
        </w:rPr>
        <w:t>603</w:t>
      </w:r>
      <w:r>
        <w:rPr>
          <w:rFonts w:hint="eastAsia" w:ascii="仿宋" w:hAnsi="仿宋" w:eastAsia="仿宋"/>
          <w:color w:val="000000" w:themeColor="text1"/>
          <w:sz w:val="32"/>
          <w:szCs w:val="32"/>
          <w14:textFill>
            <w14:solidFill>
              <w14:schemeClr w14:val="tx1"/>
            </w14:solidFill>
          </w14:textFill>
        </w:rPr>
        <w:t>个治疗量，比去年同期上升63.41%。</w:t>
      </w:r>
      <w:r>
        <w:rPr>
          <w:rFonts w:hint="eastAsia" w:ascii="仿宋" w:hAnsi="仿宋" w:eastAsia="仿宋"/>
          <w:color w:val="000000" w:themeColor="text1"/>
          <w:spacing w:val="-2"/>
          <w:sz w:val="32"/>
          <w:szCs w:val="32"/>
          <w14:textFill>
            <w14:solidFill>
              <w14:schemeClr w14:val="tx1"/>
            </w14:solidFill>
          </w14:textFill>
        </w:rPr>
        <w:t>Rh阴性血采集</w:t>
      </w:r>
      <w:r>
        <w:rPr>
          <w:rFonts w:hint="eastAsia" w:ascii="仿宋" w:hAnsi="仿宋" w:eastAsia="仿宋"/>
          <w:spacing w:val="-2"/>
          <w:sz w:val="32"/>
          <w:szCs w:val="32"/>
        </w:rPr>
        <w:t>100人</w:t>
      </w:r>
      <w:r>
        <w:rPr>
          <w:rFonts w:hint="eastAsia" w:ascii="仿宋" w:hAnsi="仿宋" w:eastAsia="仿宋"/>
          <w:color w:val="000000" w:themeColor="text1"/>
          <w:spacing w:val="-2"/>
          <w:sz w:val="32"/>
          <w:szCs w:val="32"/>
          <w14:textFill>
            <w14:solidFill>
              <w14:schemeClr w14:val="tx1"/>
            </w14:solidFill>
          </w14:textFill>
        </w:rPr>
        <w:t>次，共计36100</w:t>
      </w:r>
      <w:r>
        <w:rPr>
          <w:rFonts w:hint="eastAsia" w:ascii="仿宋" w:hAnsi="仿宋" w:eastAsia="仿宋"/>
          <w:color w:val="000000" w:themeColor="text1"/>
          <w:sz w:val="32"/>
          <w:szCs w:val="32"/>
          <w14:textFill>
            <w14:solidFill>
              <w14:schemeClr w14:val="tx1"/>
            </w14:solidFill>
          </w14:textFill>
        </w:rPr>
        <w:t xml:space="preserve"> ml；</w:t>
      </w:r>
      <w:r>
        <w:rPr>
          <w:rFonts w:ascii="仿宋" w:hAnsi="仿宋" w:eastAsia="仿宋"/>
          <w:color w:val="000000" w:themeColor="text1"/>
          <w:sz w:val="32"/>
          <w:szCs w:val="32"/>
          <w14:textFill>
            <w14:solidFill>
              <w14:schemeClr w14:val="tx1"/>
            </w14:solidFill>
          </w14:textFill>
        </w:rPr>
        <w:t>千人口献血率</w:t>
      </w:r>
      <w:r>
        <w:rPr>
          <w:rFonts w:hint="eastAsia" w:ascii="仿宋" w:hAnsi="仿宋" w:eastAsia="仿宋"/>
          <w:color w:val="000000" w:themeColor="text1"/>
          <w:sz w:val="32"/>
          <w:szCs w:val="32"/>
          <w14:textFill>
            <w14:solidFill>
              <w14:schemeClr w14:val="tx1"/>
            </w14:solidFill>
          </w14:textFill>
        </w:rPr>
        <w:t>9.18</w:t>
      </w:r>
      <w:r>
        <w:rPr>
          <w:rFonts w:ascii="仿宋" w:hAnsi="仿宋" w:eastAsia="仿宋"/>
          <w:color w:val="000000" w:themeColor="text1"/>
          <w:sz w:val="32"/>
          <w:szCs w:val="32"/>
          <w14:textFill>
            <w14:solidFill>
              <w14:schemeClr w14:val="tx1"/>
            </w14:solidFill>
          </w14:textFill>
        </w:rPr>
        <w:t>‰，固定献血者比例35.</w:t>
      </w:r>
      <w:r>
        <w:rPr>
          <w:rFonts w:hint="eastAsia" w:ascii="仿宋" w:hAnsi="仿宋" w:eastAsia="仿宋"/>
          <w:color w:val="000000" w:themeColor="text1"/>
          <w:sz w:val="32"/>
          <w:szCs w:val="32"/>
          <w14:textFill>
            <w14:solidFill>
              <w14:schemeClr w14:val="tx1"/>
            </w14:solidFill>
          </w14:textFill>
        </w:rPr>
        <w:t>8</w:t>
      </w:r>
      <w:r>
        <w:rPr>
          <w:rFonts w:ascii="仿宋" w:hAnsi="仿宋" w:eastAsia="仿宋"/>
          <w:color w:val="000000" w:themeColor="text1"/>
          <w:sz w:val="32"/>
          <w:szCs w:val="32"/>
          <w14:textFill>
            <w14:solidFill>
              <w14:schemeClr w14:val="tx1"/>
            </w14:solidFill>
          </w14:textFill>
        </w:rPr>
        <w:t>%。</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是严格疫情防控措施，多措并举保障血液供应。新冠肺炎发生后立即成立了新型冠状病毒肺炎防控工作领导小组，制定了《巴中市中心血站新型冠状病毒感染的肺炎疫情防控工作方案》《巴中市中心血站新型冠状病毒感染的肺炎疫情期间采供血工作安全防护制度》以及团体招募、电话招募规范等文件；加强工作人员培训，严格落实防护措施，保持手卫生；工作场所增加消毒频次，献血场所增加健康征询表，同时查询健康码和行程码，询问旅居史，戴口罩、测体温、手消毒，献血人员保持间距1米以上，切实落实疫情防控，保障献血安全。经过全站职工的坚守努力，即使受疫情影响血液采集困难重重，仍保障了全市临床用血，还完成了省卫生健康委2次共计16.7万毫升驰援湖北血液的任务。</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三是加强继续医学教育，提高职工能力素质。</w:t>
      </w:r>
      <w:r>
        <w:rPr>
          <w:rFonts w:hint="eastAsia" w:ascii="仿宋" w:hAnsi="仿宋" w:eastAsia="仿宋" w:cs="仿宋"/>
          <w:sz w:val="32"/>
          <w:szCs w:val="32"/>
        </w:rPr>
        <w:t>全年开展站级线上线下培训</w:t>
      </w:r>
      <w:r>
        <w:rPr>
          <w:rFonts w:ascii="仿宋" w:hAnsi="仿宋" w:eastAsia="仿宋" w:cs="仿宋"/>
          <w:sz w:val="32"/>
          <w:szCs w:val="32"/>
        </w:rPr>
        <w:t>30</w:t>
      </w:r>
      <w:r>
        <w:rPr>
          <w:rFonts w:hint="eastAsia" w:ascii="仿宋" w:hAnsi="仿宋" w:eastAsia="仿宋" w:cs="仿宋"/>
          <w:sz w:val="32"/>
          <w:szCs w:val="32"/>
        </w:rPr>
        <w:t>余次，外派32人次参加了国家、省、市级培训；</w:t>
      </w:r>
      <w:r>
        <w:rPr>
          <w:rFonts w:hint="eastAsia" w:ascii="仿宋" w:hAnsi="仿宋" w:eastAsia="仿宋"/>
          <w:sz w:val="32"/>
          <w:szCs w:val="32"/>
        </w:rPr>
        <w:t>组织新进和转岗人员实践技能考核共</w:t>
      </w:r>
      <w:r>
        <w:rPr>
          <w:rFonts w:ascii="仿宋" w:hAnsi="仿宋" w:eastAsia="仿宋"/>
          <w:sz w:val="32"/>
          <w:szCs w:val="32"/>
        </w:rPr>
        <w:t>9</w:t>
      </w:r>
      <w:r>
        <w:rPr>
          <w:rFonts w:hint="eastAsia" w:ascii="仿宋" w:hAnsi="仿宋" w:eastAsia="仿宋"/>
          <w:sz w:val="32"/>
          <w:szCs w:val="32"/>
        </w:rPr>
        <w:t>人次，合格率100%，开展了职工理论考试，共</w:t>
      </w:r>
      <w:r>
        <w:rPr>
          <w:rFonts w:ascii="仿宋" w:hAnsi="仿宋" w:eastAsia="仿宋"/>
          <w:sz w:val="32"/>
          <w:szCs w:val="32"/>
        </w:rPr>
        <w:t>48</w:t>
      </w:r>
      <w:r>
        <w:rPr>
          <w:rFonts w:hint="eastAsia" w:ascii="仿宋" w:hAnsi="仿宋" w:eastAsia="仿宋"/>
          <w:sz w:val="32"/>
          <w:szCs w:val="32"/>
        </w:rPr>
        <w:t>人参考，成绩均在8</w:t>
      </w:r>
      <w:r>
        <w:rPr>
          <w:rFonts w:ascii="仿宋" w:hAnsi="仿宋" w:eastAsia="仿宋"/>
          <w:sz w:val="32"/>
          <w:szCs w:val="32"/>
        </w:rPr>
        <w:t>0</w:t>
      </w:r>
      <w:r>
        <w:rPr>
          <w:rFonts w:hint="eastAsia" w:ascii="仿宋" w:hAnsi="仿宋" w:eastAsia="仿宋"/>
          <w:sz w:val="32"/>
          <w:szCs w:val="32"/>
        </w:rPr>
        <w:t>分以上，合格率</w:t>
      </w:r>
      <w:r>
        <w:rPr>
          <w:rFonts w:ascii="仿宋" w:hAnsi="仿宋" w:eastAsia="仿宋"/>
          <w:sz w:val="32"/>
          <w:szCs w:val="32"/>
        </w:rPr>
        <w:t>100</w:t>
      </w:r>
      <w:r>
        <w:rPr>
          <w:rFonts w:hint="eastAsia" w:ascii="仿宋" w:hAnsi="仿宋" w:eastAsia="仿宋"/>
          <w:sz w:val="32"/>
          <w:szCs w:val="32"/>
        </w:rPr>
        <w:t>%。</w:t>
      </w:r>
      <w:r>
        <w:rPr>
          <w:rFonts w:ascii="仿宋" w:hAnsi="仿宋" w:eastAsia="仿宋"/>
          <w:sz w:val="32"/>
          <w:szCs w:val="32"/>
        </w:rPr>
        <w:t>2020</w:t>
      </w:r>
      <w:r>
        <w:rPr>
          <w:rFonts w:hint="eastAsia" w:ascii="仿宋" w:hAnsi="仿宋" w:eastAsia="仿宋"/>
          <w:sz w:val="32"/>
          <w:szCs w:val="32"/>
        </w:rPr>
        <w:t>年全站人员继续教育学时均大于75学时，卫生技术专业人员继续医学教育学分达标率100%。</w:t>
      </w:r>
    </w:p>
    <w:p>
      <w:pPr>
        <w:widowControl/>
        <w:spacing w:line="576"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是检测流程严格规范，严把血液安全关。严格执行采供血相关法律法规、标准规范，检测结果真实可靠。2020年检验科检测标本30461人份（17袋50毫升以下全血不留取试管标本），不合格标本638人份，不合格率为2.09%，同比下降0.28%。血清学实验检测标本30461人份，检出不合格483人份，其中ALT不合格92人份， HBsAg阳性167人份,抗-HCV阳性54份,抗-TP阳性72人份,抗-HIV阳性3人份（送中国输血研究所确认的HIV阳性标本3人份，确认结果为阳性的3人份，并按规定在中国疾病预防控制系统进行了网络直报），ABO血型意外抗体8人份, ABO亚型2人份，脂肪血报废10人份，不确定（OD值高）78人份, 核酸免检2人份，再检超过7天1人份。核酸实验室检测标本30461人份，Panther检测10512人份，酶免阴性核酸联检阳性34人份，联检阳性率为0.32%，浩源检测19949份标本，共检测出HBV-DNA120份，HCV-RNA1份，检测阳性率为0.61%。鉴定Rh(D)血型66人份，鉴定外采血型错误13人次。血清学实验室参加国家卫生健康委临检中心室间质评5次，核酸检测实验室参加国家卫生健康委临检中心、省血管中心室间质评各2次，艾滋初筛实验室参加了市疾病预防控制中心现场质量考核，以上成绩均为满分100分。通过实验室评价，进一步证明了我站血液检测实验室检测过程受控、结果可靠。</w:t>
      </w:r>
    </w:p>
    <w:p>
      <w:pPr>
        <w:widowControl/>
        <w:spacing w:line="576"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五是加强血液成分制备，极力满足用血需求。</w:t>
      </w:r>
      <w:r>
        <w:rPr>
          <w:rFonts w:hint="eastAsia" w:ascii="仿宋" w:hAnsi="仿宋" w:eastAsia="仿宋"/>
          <w:sz w:val="32"/>
          <w:szCs w:val="32"/>
        </w:rPr>
        <w:t>本年度共制备成分血66170袋,较去年增长4.67%</w:t>
      </w:r>
      <w:r>
        <w:rPr>
          <w:rFonts w:hint="eastAsia" w:ascii="仿宋" w:hAnsi="仿宋" w:eastAsia="仿宋"/>
          <w:color w:val="000000" w:themeColor="text1"/>
          <w:sz w:val="32"/>
          <w:szCs w:val="32"/>
          <w14:textFill>
            <w14:solidFill>
              <w14:schemeClr w14:val="tx1"/>
            </w14:solidFill>
          </w14:textFill>
        </w:rPr>
        <w:t>。供给血液共91428U，较去年增长5.36%。市内临床用血80916 U，较去年增长1.93%，其中红细胞类</w:t>
      </w:r>
      <w:r>
        <w:rPr>
          <w:rFonts w:hint="eastAsia" w:ascii="仿宋" w:hAnsi="仿宋" w:eastAsia="仿宋"/>
          <w:sz w:val="32"/>
          <w:szCs w:val="32"/>
        </w:rPr>
        <w:t>46883.5 U</w:t>
      </w:r>
      <w:r>
        <w:rPr>
          <w:rFonts w:hint="eastAsia" w:ascii="仿宋" w:hAnsi="仿宋" w:eastAsia="仿宋"/>
          <w:color w:val="000000" w:themeColor="text1"/>
          <w:sz w:val="32"/>
          <w:szCs w:val="32"/>
          <w14:textFill>
            <w14:solidFill>
              <w14:schemeClr w14:val="tx1"/>
            </w14:solidFill>
          </w14:textFill>
        </w:rPr>
        <w:t>，较去年增长1.72%。全血2 U，悬浮红细胞8383.5 U，去白细胞悬浮红细胞16 U，洗涤红细胞188 U，辐照悬浮红细胞38258 U，冰冻解冻去甘油红细胞36U；血浆类21012.5 U，较去年增长17.33%，其中新鲜冰冻血浆16907.5 U、冰冻血浆3925 U、病毒灭活冰冻血浆180 U；浓缩血小板6764 U，较去年下降22.96%，其中单采血小板590个治疗量，较去年增长63.43%；冷沉淀凝血因子5666 U，较去年下降9.26%。向湖北、成都、重庆等地调出血液10512 U，其中悬浮红细胞5490 U，血浆5008 U，单采血小板14个治疗量。调入单采血小板8个治疗量，红细胞类472 U。</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是切实强化便民服务，做好临床用血退费工作。为顺利推进临床用血直报系统的使用，全年组织临床用血医疗机构网络直报培训2次，目前全市25家医疗机构完成临床用血退费直报系统的安装。2020年在我站各地献血屋退费合计1560人次共271.8776万元，自2020年6月直报系</w:t>
      </w:r>
      <w:r>
        <w:rPr>
          <w:rFonts w:hint="eastAsia" w:ascii="仿宋" w:hAnsi="仿宋" w:eastAsia="仿宋"/>
          <w:sz w:val="32"/>
          <w:szCs w:val="32"/>
        </w:rPr>
        <w:t>统启用以来退费达2952人次共336.6617万元</w:t>
      </w:r>
      <w:r>
        <w:rPr>
          <w:rFonts w:hint="eastAsia" w:ascii="仿宋" w:hAnsi="仿宋" w:eastAsia="仿宋"/>
          <w:color w:val="000000" w:themeColor="text1"/>
          <w:sz w:val="32"/>
          <w:szCs w:val="32"/>
          <w14:textFill>
            <w14:solidFill>
              <w14:schemeClr w14:val="tx1"/>
            </w14:solidFill>
          </w14:textFill>
        </w:rPr>
        <w:t>，全年退费4512人次合计608.5393万元，建立了让“信息多跑路，群众少跑路”的便民服务体系。</w:t>
      </w:r>
    </w:p>
    <w:p>
      <w:pPr>
        <w:spacing w:line="576" w:lineRule="exact"/>
        <w:ind w:firstLine="642"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（三）关键环节把控严格，质量管理卓有成效</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是强化过程监控，确保操作规程严格执行。每月对各科室进行不少于2次的工作现场采供血过程质量监控，采取现场查看、询问和抽查记录等方式，及时发现在人、机、料、环、法等环节存在的问题，并立即采取纠正预防措施。</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二是加强质量监测，确保</w:t>
      </w:r>
      <w:r>
        <w:rPr>
          <w:rFonts w:hint="eastAsia" w:ascii="仿宋" w:hAnsi="仿宋" w:eastAsia="仿宋"/>
          <w:sz w:val="32"/>
          <w:szCs w:val="32"/>
        </w:rPr>
        <w:t>血液质量</w:t>
      </w:r>
      <w:r>
        <w:rPr>
          <w:rFonts w:hint="eastAsia" w:ascii="仿宋" w:hAnsi="仿宋" w:eastAsia="仿宋"/>
          <w:color w:val="000000" w:themeColor="text1"/>
          <w:sz w:val="32"/>
          <w:szCs w:val="32"/>
          <w14:textFill>
            <w14:solidFill>
              <w14:schemeClr w14:val="tx1"/>
            </w14:solidFill>
          </w14:textFill>
        </w:rPr>
        <w:t>符合要求。2020年血液质量抽检268袋，原辅材料抽检75批次，试剂抽检88批次，采供血环境监测436次，关键设备监测131批次。市计量检定测试所和中测院对所有计量器具检定/校准合格；市CDC监测环境卫生和污水2次，成都天健新业检测技术服务有限公司检测污水1次，市、区生态环境局对我站辐射环境共监测2次，以上监测结果均符合国家相关标准要求。从抽检结果和第三方机构监测结果可以看出我站血液采集、制备、储存、检验等环境消毒严格，关键物料质量可靠，关键设备得到有效维护并正常使用，供应给医疗机构的血液质量符合《全血及成分血质量要求》。</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是深化质量管理，持续改进血站质量管理体系。每月初组织考核小组对各科室上月工作进行严格质量考核，及时召开质量例会，形成质量通报12期，各科室工作质量得到不断改进，工作人员质量意识不断提高。8月4日，</w:t>
      </w:r>
      <w:r>
        <w:rPr>
          <w:rFonts w:hint="eastAsia" w:ascii="仿宋" w:hAnsi="仿宋" w:eastAsia="仿宋"/>
          <w:color w:val="000000"/>
          <w:spacing w:val="15"/>
          <w:sz w:val="32"/>
          <w:szCs w:val="32"/>
          <w:shd w:val="clear" w:color="auto" w:fill="FFFFFF"/>
        </w:rPr>
        <w:t>我站接受了四川省2020年度血液安全监督执法核查，专家组对我站的工作给予了肯定，针对存在的问题我站及时进行了整改；</w:t>
      </w:r>
      <w:r>
        <w:rPr>
          <w:rFonts w:hint="eastAsia" w:ascii="仿宋" w:hAnsi="仿宋" w:eastAsia="仿宋"/>
          <w:color w:val="000000" w:themeColor="text1"/>
          <w:sz w:val="32"/>
          <w:szCs w:val="32"/>
          <w14:textFill>
            <w14:solidFill>
              <w14:schemeClr w14:val="tx1"/>
            </w14:solidFill>
          </w14:textFill>
        </w:rPr>
        <w:t>8月底完成质量体系文件的修订换版工作，于9月10日正式实施新版质量体系文件（20F/0版）。10月底与重庆市血液中心、南充市红十字中心血站联合完成了2020年度内部质量审核工作。通过修订换版与联合内审，进一步增强了站质量体系文件的指导性、可操作性与覆盖性，切实推动我站质量管理水平再上新台阶。</w:t>
      </w:r>
    </w:p>
    <w:p>
      <w:pPr>
        <w:spacing w:line="576" w:lineRule="exact"/>
        <w:ind w:firstLine="642" w:firstLineChars="200"/>
        <w:rPr>
          <w:rFonts w:ascii="楷体" w:hAnsi="楷体" w:eastAsia="楷体"/>
          <w:sz w:val="32"/>
          <w:szCs w:val="32"/>
        </w:rPr>
      </w:pPr>
      <w:r>
        <w:rPr>
          <w:rFonts w:hint="eastAsia" w:ascii="楷体" w:hAnsi="楷体" w:eastAsia="楷体"/>
          <w:b/>
          <w:bCs/>
          <w:sz w:val="32"/>
          <w:szCs w:val="32"/>
        </w:rPr>
        <w:t>（四）行政后勤保障有力，工作运转规范有序</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一是</w:t>
      </w:r>
      <w:r>
        <w:rPr>
          <w:rFonts w:hint="eastAsia" w:ascii="仿宋" w:hAnsi="仿宋" w:eastAsia="仿宋"/>
          <w:sz w:val="32"/>
          <w:szCs w:val="32"/>
        </w:rPr>
        <w:t>力抓</w:t>
      </w:r>
      <w:r>
        <w:rPr>
          <w:rFonts w:hint="eastAsia" w:ascii="仿宋" w:hAnsi="仿宋" w:eastAsia="仿宋"/>
          <w:color w:val="000000" w:themeColor="text1"/>
          <w:sz w:val="32"/>
          <w:szCs w:val="32"/>
          <w14:textFill>
            <w14:solidFill>
              <w14:schemeClr w14:val="tx1"/>
            </w14:solidFill>
          </w14:textFill>
        </w:rPr>
        <w:t>制度建设，确保权力在阳光下运行。新增了“一把手”“四个不直接分管”和“末位表态”制度，修订了《血站工作规则》《差旅费报销制度》《采购管理制度》《车辆管理制度》等制度，进一步规范了血站的财务收支、物资管理、采购管理。</w:t>
      </w:r>
    </w:p>
    <w:p>
      <w:pPr>
        <w:spacing w:line="576" w:lineRule="exact"/>
        <w:ind w:firstLine="640" w:firstLineChars="200"/>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二是强化法制教育，着力</w:t>
      </w:r>
      <w:r>
        <w:rPr>
          <w:rFonts w:hint="eastAsia" w:ascii="仿宋" w:hAnsi="仿宋" w:eastAsia="仿宋"/>
          <w:sz w:val="32"/>
          <w:szCs w:val="32"/>
        </w:rPr>
        <w:t>维护采供血秩序。严格落实中央、省市关于开展扫黑除恶治乱专项斗争的各项决策部署，年初印发了《巴中市中心血站扫黑除恶工作实施方案》，并召开专题会议3次研究部署相关工作，坚决整治行业乱象，同时严格落实学法普法责任，不断提高职工法</w:t>
      </w:r>
      <w:r>
        <w:rPr>
          <w:rFonts w:hint="eastAsia" w:ascii="仿宋" w:hAnsi="仿宋" w:eastAsia="仿宋"/>
          <w:sz w:val="32"/>
          <w:szCs w:val="32"/>
          <w:lang w:eastAsia="zh-CN"/>
        </w:rPr>
        <w:t>治</w:t>
      </w:r>
      <w:bookmarkStart w:id="75" w:name="_GoBack"/>
      <w:bookmarkEnd w:id="75"/>
      <w:r>
        <w:rPr>
          <w:rFonts w:hint="eastAsia" w:ascii="仿宋" w:hAnsi="仿宋" w:eastAsia="仿宋"/>
          <w:sz w:val="32"/>
          <w:szCs w:val="32"/>
        </w:rPr>
        <w:t>意识，形成依法执业的良好氛围，本年度开展专题学习法律法规2次，会前学法9次，参与民法典知识答题73人次。</w:t>
      </w:r>
    </w:p>
    <w:p>
      <w:pPr>
        <w:spacing w:line="576" w:lineRule="exact"/>
        <w:ind w:firstLine="640" w:firstLineChars="200"/>
        <w:rPr>
          <w:rFonts w:ascii="楷体" w:hAnsi="楷体" w:eastAsia="楷体"/>
          <w:sz w:val="32"/>
          <w:szCs w:val="32"/>
        </w:rPr>
      </w:pPr>
      <w:r>
        <w:rPr>
          <w:rFonts w:hint="eastAsia" w:ascii="仿宋" w:hAnsi="仿宋" w:eastAsia="仿宋"/>
          <w:sz w:val="32"/>
          <w:szCs w:val="32"/>
        </w:rPr>
        <w:t>三是加强安全生产，保障了血站人财物的安全。本年度</w:t>
      </w:r>
    </w:p>
    <w:p>
      <w:pPr>
        <w:spacing w:line="576" w:lineRule="exact"/>
        <w:rPr>
          <w:rFonts w:ascii="仿宋" w:hAnsi="仿宋" w:eastAsia="仿宋"/>
          <w:sz w:val="32"/>
          <w:szCs w:val="32"/>
        </w:rPr>
      </w:pPr>
      <w:r>
        <w:rPr>
          <w:rFonts w:hint="eastAsia" w:ascii="仿宋" w:hAnsi="仿宋" w:eastAsia="仿宋"/>
          <w:sz w:val="32"/>
          <w:szCs w:val="32"/>
        </w:rPr>
        <w:t>进一步完善了《安全与卫生管理制度》，</w:t>
      </w:r>
      <w:r>
        <w:rPr>
          <w:rFonts w:hint="eastAsia" w:ascii="仿宋" w:hAnsi="仿宋" w:eastAsia="仿宋" w:cs="仿宋"/>
          <w:color w:val="000000" w:themeColor="text1"/>
          <w:sz w:val="32"/>
          <w:szCs w:val="32"/>
          <w14:textFill>
            <w14:solidFill>
              <w14:schemeClr w14:val="tx1"/>
            </w14:solidFill>
          </w14:textFill>
        </w:rPr>
        <w:t>制定了《安全生产专项整治三年行动实施方案》《安全生产管理责任清单》等文件，进一步健全落实安全生产主体责任，完善安全隐患排查和安全预防控制体系。本年度</w:t>
      </w:r>
      <w:r>
        <w:rPr>
          <w:rFonts w:hint="eastAsia" w:ascii="仿宋" w:hAnsi="仿宋" w:eastAsia="仿宋"/>
          <w:sz w:val="32"/>
          <w:szCs w:val="32"/>
        </w:rPr>
        <w:t>利用全民国家安全教育日、职工政治教育学习会常态化开展安全生产宣传教育和职工安全知识培训，本年度已开展10余次安全知识学习会议。6月份开展了“安全生产月” 和“安全生产天府行”活动，组织全站职工进行消防演练，强化安全意识，提高安全技能。10月份顺利通过了国家卫生城市复检，站内安全卫生工作获得高度好评。通过综合比选，完成我站包括安全保卫、清洁卫生、园林绿化、绿植管理、除四害等物业管理服务招标采购工作，进一步强化了站内安全管理工作。</w:t>
      </w:r>
    </w:p>
    <w:p>
      <w:pPr>
        <w:spacing w:line="576" w:lineRule="exact"/>
        <w:ind w:firstLine="640" w:firstLineChars="200"/>
        <w:rPr>
          <w:rFonts w:ascii="仿宋" w:hAnsi="仿宋" w:eastAsia="仿宋"/>
          <w:spacing w:val="4"/>
          <w:sz w:val="32"/>
          <w:szCs w:val="32"/>
        </w:rPr>
      </w:pPr>
      <w:r>
        <w:rPr>
          <w:rFonts w:hint="eastAsia" w:ascii="仿宋" w:hAnsi="仿宋" w:eastAsia="仿宋"/>
          <w:sz w:val="32"/>
          <w:szCs w:val="32"/>
        </w:rPr>
        <w:t>四是做好网络管理，保障网络信息安全运行。网络管理</w:t>
      </w:r>
      <w:r>
        <w:rPr>
          <w:rFonts w:hint="eastAsia" w:ascii="仿宋" w:hAnsi="仿宋" w:eastAsia="仿宋"/>
          <w:spacing w:val="4"/>
          <w:sz w:val="32"/>
          <w:szCs w:val="32"/>
        </w:rPr>
        <w:t>员及时更新血站官网、血液检测结果等数据，对采供血数据异地备份并刻盘保存，及时解决各科室业务工作中遇到的问题和系统更改需求，对全站的信息网络的安全漏洞进行多次排查处理，确保采供血工作数据完整准确，网络信息安全运行。</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五是抓好采购工作，及时保障采供血所需。严格执行采购相关法律法规及站《采购管理制度》，本年度采购金额合计1207.28万元，按采购项目统计：其中物料280多批次1023.71万元，设备7批次46台118.62万元，其他物品218批次64.95万元；按采购方式统计：通过公开招标采购634.2万元（包括血袋等耗材履行2018年采购合同91.08万元，浩源核酸试剂履行2019年采购合同164.32万元），政府集中采购19.96万元，阳光平台采购335.14万元，议价采购217.98万元。</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六是加强物料及设备管理，保障采供血顺利运行。认真做好物料管理，</w:t>
      </w:r>
      <w:r>
        <w:rPr>
          <w:rFonts w:hint="eastAsia" w:ascii="仿宋" w:hAnsi="仿宋" w:eastAsia="仿宋"/>
          <w:color w:val="000000" w:themeColor="text1"/>
          <w:sz w:val="32"/>
          <w:szCs w:val="32"/>
          <w14:textFill>
            <w14:solidFill>
              <w14:schemeClr w14:val="tx1"/>
            </w14:solidFill>
          </w14:textFill>
        </w:rPr>
        <w:t>物料库房设置合理，管理规范，储存温度适宜，出、入库管理严格，全年无因管理不善造成物料报废。</w:t>
      </w:r>
      <w:r>
        <w:rPr>
          <w:rFonts w:hint="eastAsia" w:ascii="仿宋" w:hAnsi="仿宋" w:eastAsia="仿宋"/>
          <w:sz w:val="32"/>
          <w:szCs w:val="32"/>
        </w:rPr>
        <w:t>本年度新建设备档案52台次，维修55台次，校准维护82台次，并制作更换全站所有设备标识。严格实施车辆责任制，定人定车，定点保险，定点加油，定点维修，规范车辆运行，制定送血管理相关规定，保障了采供血工作的顺利运行。</w:t>
      </w:r>
    </w:p>
    <w:p>
      <w:pPr>
        <w:spacing w:line="576" w:lineRule="exact"/>
        <w:ind w:firstLine="642"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（五）抓好血站阵地建设，做好业务楼迁建项目工作</w:t>
      </w:r>
      <w:r>
        <w:rPr>
          <w:rFonts w:ascii="楷体" w:hAnsi="楷体" w:eastAsia="楷体"/>
          <w:b/>
          <w:bCs/>
          <w:color w:val="000000" w:themeColor="text1"/>
          <w:sz w:val="32"/>
          <w:szCs w:val="32"/>
          <w14:textFill>
            <w14:solidFill>
              <w14:schemeClr w14:val="tx1"/>
            </w14:solidFill>
          </w14:textFill>
        </w:rPr>
        <w:t xml:space="preserve"> </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经2020年4月3日四届市政府第149次常务会议研究通过，同意实施巴中市中心血站业务楼迁建工程建设项目。目前血站业务楼迁建项目已完成前期项目立项、项目选址和用地审批工作。</w:t>
      </w:r>
    </w:p>
    <w:p>
      <w:pPr>
        <w:spacing w:line="576" w:lineRule="exact"/>
        <w:ind w:firstLine="642" w:firstLineChars="200"/>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（六）融入成渝经济圈建设，与重庆市血液中心协作</w:t>
      </w:r>
    </w:p>
    <w:p>
      <w:pPr>
        <w:spacing w:line="576"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深入贯彻市委四届十次全会精神，加快融入成渝地区双城经济圈建设，深化血站交流合作，2020年8月我站与重庆市血液中心签订了《采供血协同发展合作协议》《血液调配保障合作协议》，双方将在采供血管理、信息化、无偿献血服务等方面进行协同合作，互补发展。</w:t>
      </w:r>
    </w:p>
    <w:p>
      <w:pPr>
        <w:pStyle w:val="3"/>
        <w:spacing w:before="0" w:after="0" w:line="600" w:lineRule="exact"/>
        <w:ind w:firstLine="640" w:firstLineChars="200"/>
        <w:rPr>
          <w:rStyle w:val="19"/>
          <w:b w:val="0"/>
          <w:bCs w:val="0"/>
        </w:rPr>
      </w:pPr>
      <w:r>
        <w:rPr>
          <w:rFonts w:hint="eastAsia" w:ascii="黑体" w:eastAsia="黑体"/>
          <w:b w:val="0"/>
          <w:color w:val="000000"/>
        </w:rPr>
        <w:t>二、</w:t>
      </w:r>
      <w:r>
        <w:rPr>
          <w:rFonts w:hint="eastAsia" w:ascii="黑体" w:hAnsi="黑体" w:eastAsia="黑体"/>
          <w:b w:val="0"/>
          <w:color w:val="000000"/>
        </w:rPr>
        <w:t>机</w:t>
      </w:r>
      <w:r>
        <w:rPr>
          <w:rStyle w:val="19"/>
          <w:rFonts w:hint="eastAsia" w:ascii="黑体" w:hAnsi="黑体" w:eastAsia="黑体"/>
          <w:b w:val="0"/>
          <w:bCs w:val="0"/>
        </w:rPr>
        <w:t>构设置</w:t>
      </w:r>
      <w:bookmarkEnd w:id="18"/>
      <w:bookmarkEnd w:id="19"/>
    </w:p>
    <w:p>
      <w:pPr>
        <w:spacing w:line="60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巴中市中心血站是全额预算的事业单位；是政府举办的公益一类卫生事业单位，主要为医疗机构提供临床用血；是市卫生健康委直属的二级预算单位。</w:t>
      </w:r>
    </w:p>
    <w:p>
      <w:pPr>
        <w:widowControl/>
        <w:spacing w:line="600" w:lineRule="exact"/>
        <w:jc w:val="center"/>
      </w:pPr>
      <w:bookmarkStart w:id="20" w:name="_Toc15377204"/>
      <w:bookmarkStart w:id="21" w:name="_Toc15396602"/>
      <w:r>
        <w:rPr>
          <w:rStyle w:val="18"/>
          <w:rFonts w:hint="eastAsia" w:ascii="黑体" w:hAnsi="黑体" w:eastAsia="黑体"/>
          <w:b w:val="0"/>
        </w:rPr>
        <w:t>第二部分</w:t>
      </w:r>
      <w:r>
        <w:rPr>
          <w:rStyle w:val="18"/>
          <w:rFonts w:ascii="黑体" w:hAnsi="黑体" w:eastAsia="黑体"/>
          <w:b w:val="0"/>
        </w:rPr>
        <w:t xml:space="preserve"> 2020</w:t>
      </w:r>
      <w:r>
        <w:rPr>
          <w:rStyle w:val="18"/>
          <w:rFonts w:hint="eastAsia" w:ascii="黑体" w:hAnsi="黑体" w:eastAsia="黑体"/>
          <w:b w:val="0"/>
        </w:rPr>
        <w:t>年度部门决算情况说明</w:t>
      </w:r>
      <w:bookmarkEnd w:id="20"/>
      <w:bookmarkEnd w:id="21"/>
    </w:p>
    <w:p>
      <w:pPr>
        <w:pStyle w:val="27"/>
        <w:spacing w:line="600" w:lineRule="exact"/>
        <w:ind w:firstLine="640"/>
        <w:outlineLvl w:val="1"/>
        <w:rPr>
          <w:rFonts w:ascii="黑体" w:hAnsi="黑体" w:eastAsia="黑体"/>
          <w:color w:val="000000"/>
          <w:sz w:val="32"/>
          <w:szCs w:val="32"/>
        </w:rPr>
      </w:pPr>
      <w:bookmarkStart w:id="22" w:name="_Toc15377205"/>
      <w:bookmarkStart w:id="23" w:name="_Toc15396603"/>
    </w:p>
    <w:p>
      <w:pPr>
        <w:pStyle w:val="27"/>
        <w:spacing w:line="600" w:lineRule="exact"/>
        <w:ind w:firstLine="640"/>
        <w:outlineLvl w:val="1"/>
        <w:rPr>
          <w:rStyle w:val="19"/>
          <w:rFonts w:ascii="黑体" w:hAnsi="黑体" w:eastAsia="黑体"/>
          <w:b w:val="0"/>
        </w:rPr>
      </w:pPr>
      <w:r>
        <w:rPr>
          <w:rFonts w:hint="eastAsia" w:ascii="黑体" w:hAnsi="黑体" w:eastAsia="黑体"/>
          <w:color w:val="000000"/>
          <w:sz w:val="32"/>
          <w:szCs w:val="32"/>
        </w:rPr>
        <w:t>一、收</w:t>
      </w:r>
      <w:r>
        <w:rPr>
          <w:rStyle w:val="19"/>
          <w:rFonts w:hint="eastAsia" w:ascii="黑体" w:hAnsi="黑体" w:eastAsia="黑体"/>
          <w:b w:val="0"/>
        </w:rPr>
        <w:t>入支出决算总体情况说明</w:t>
      </w:r>
      <w:bookmarkEnd w:id="22"/>
      <w:bookmarkEnd w:id="23"/>
    </w:p>
    <w:p>
      <w:pPr>
        <w:pStyle w:val="27"/>
        <w:spacing w:line="600" w:lineRule="exact"/>
        <w:ind w:firstLine="616"/>
        <w:outlineLvl w:val="1"/>
        <w:rPr>
          <w:rFonts w:ascii="仿宋" w:hAnsi="仿宋" w:eastAsia="仿宋"/>
          <w:color w:val="000000"/>
          <w:spacing w:val="-6"/>
          <w:sz w:val="32"/>
          <w:szCs w:val="32"/>
        </w:rPr>
      </w:pPr>
      <w:r>
        <w:rPr>
          <w:rFonts w:ascii="仿宋" w:hAnsi="仿宋" w:eastAsia="仿宋"/>
          <w:color w:val="000000"/>
          <w:spacing w:val="-6"/>
          <w:sz w:val="32"/>
          <w:szCs w:val="32"/>
        </w:rPr>
        <w:t>2020</w:t>
      </w:r>
      <w:r>
        <w:rPr>
          <w:rFonts w:hint="eastAsia" w:ascii="仿宋" w:hAnsi="仿宋" w:eastAsia="仿宋"/>
          <w:color w:val="000000"/>
          <w:spacing w:val="-6"/>
          <w:sz w:val="32"/>
          <w:szCs w:val="32"/>
        </w:rPr>
        <w:t>年度收入总计2307.05万元，与</w:t>
      </w:r>
      <w:r>
        <w:rPr>
          <w:rFonts w:ascii="仿宋" w:hAnsi="仿宋" w:eastAsia="仿宋"/>
          <w:color w:val="000000"/>
          <w:spacing w:val="-6"/>
          <w:sz w:val="32"/>
          <w:szCs w:val="32"/>
        </w:rPr>
        <w:t>2019</w:t>
      </w:r>
      <w:r>
        <w:rPr>
          <w:rFonts w:hint="eastAsia" w:ascii="仿宋" w:hAnsi="仿宋" w:eastAsia="仿宋"/>
          <w:color w:val="000000"/>
          <w:spacing w:val="-6"/>
          <w:sz w:val="32"/>
          <w:szCs w:val="32"/>
        </w:rPr>
        <w:t>年相比，收入总计各增加89.86万元，增长0.04</w:t>
      </w:r>
      <w:r>
        <w:rPr>
          <w:rFonts w:ascii="仿宋" w:hAnsi="仿宋" w:eastAsia="仿宋"/>
          <w:color w:val="000000"/>
          <w:spacing w:val="-6"/>
          <w:sz w:val="32"/>
          <w:szCs w:val="32"/>
        </w:rPr>
        <w:t>%</w:t>
      </w:r>
      <w:r>
        <w:rPr>
          <w:rFonts w:hint="eastAsia" w:ascii="仿宋" w:hAnsi="仿宋" w:eastAsia="仿宋"/>
          <w:color w:val="000000"/>
          <w:spacing w:val="-6"/>
          <w:sz w:val="32"/>
          <w:szCs w:val="32"/>
        </w:rPr>
        <w:t>，主要变动原因是血液试剂耗材量增加。2020年支付总计1638.05万元，与</w:t>
      </w:r>
      <w:r>
        <w:rPr>
          <w:rFonts w:ascii="仿宋" w:hAnsi="仿宋" w:eastAsia="仿宋"/>
          <w:color w:val="000000"/>
          <w:spacing w:val="-6"/>
          <w:sz w:val="32"/>
          <w:szCs w:val="32"/>
        </w:rPr>
        <w:t>2019</w:t>
      </w:r>
      <w:r>
        <w:rPr>
          <w:rFonts w:hint="eastAsia" w:ascii="仿宋" w:hAnsi="仿宋" w:eastAsia="仿宋"/>
          <w:color w:val="000000"/>
          <w:spacing w:val="-6"/>
          <w:sz w:val="32"/>
          <w:szCs w:val="32"/>
        </w:rPr>
        <w:t>年相比，减少总计各减少579.14万元，减少0.04</w:t>
      </w:r>
      <w:r>
        <w:rPr>
          <w:rFonts w:ascii="仿宋" w:hAnsi="仿宋" w:eastAsia="仿宋"/>
          <w:color w:val="000000"/>
          <w:spacing w:val="-6"/>
          <w:sz w:val="32"/>
          <w:szCs w:val="32"/>
        </w:rPr>
        <w:t>%</w:t>
      </w:r>
      <w:r>
        <w:rPr>
          <w:rFonts w:hint="eastAsia" w:ascii="仿宋" w:hAnsi="仿宋" w:eastAsia="仿宋"/>
          <w:color w:val="000000"/>
          <w:spacing w:val="-6"/>
          <w:sz w:val="32"/>
          <w:szCs w:val="32"/>
        </w:rPr>
        <w:t>，主要原因是指标下达时间晚于年终结账时间。2020年结余资金669万元。</w:t>
      </w:r>
    </w:p>
    <w:p>
      <w:pPr>
        <w:spacing w:line="600" w:lineRule="exact"/>
        <w:jc w:val="center"/>
        <w:rPr>
          <w:rFonts w:ascii="黑体" w:hAnsi="黑体" w:eastAsia="黑体"/>
          <w:color w:val="000000"/>
          <w:sz w:val="32"/>
          <w:szCs w:val="32"/>
        </w:rPr>
      </w:pPr>
      <w:r>
        <w:rPr>
          <w:rFonts w:hint="eastAsia" w:ascii="黑体" w:hAnsi="黑体" w:eastAsia="黑体"/>
          <w:color w:val="000000"/>
          <w:sz w:val="32"/>
          <w:szCs w:val="32"/>
        </w:rPr>
        <w:t>图</w:t>
      </w:r>
      <w:r>
        <w:rPr>
          <w:rFonts w:ascii="黑体" w:hAnsi="黑体" w:eastAsia="黑体"/>
          <w:color w:val="000000"/>
          <w:sz w:val="32"/>
          <w:szCs w:val="32"/>
        </w:rPr>
        <w:t>1</w:t>
      </w:r>
      <w:r>
        <w:rPr>
          <w:rFonts w:hint="eastAsia" w:ascii="黑体" w:hAnsi="黑体" w:eastAsia="黑体"/>
          <w:color w:val="000000"/>
          <w:sz w:val="32"/>
          <w:szCs w:val="32"/>
        </w:rPr>
        <w:t>：收、支决算总计变动情况图</w:t>
      </w:r>
    </w:p>
    <w:p>
      <w:pPr>
        <w:pStyle w:val="27"/>
        <w:spacing w:line="600" w:lineRule="exact"/>
        <w:ind w:firstLine="640"/>
        <w:outlineLvl w:val="1"/>
        <w:rPr>
          <w:rStyle w:val="19"/>
          <w:rFonts w:ascii="黑体" w:hAnsi="黑体" w:eastAsia="黑体"/>
          <w:b w:val="0"/>
        </w:rPr>
      </w:pPr>
      <w:r>
        <w:rPr>
          <w:rFonts w:ascii="仿宋_GB2312" w:eastAsia="仿宋"/>
          <w:color w:val="000000"/>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74310" cy="3076575"/>
            <wp:effectExtent l="19050" t="0" r="21590" b="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bookmarkStart w:id="24" w:name="_Toc15377206"/>
      <w:bookmarkStart w:id="25" w:name="_Toc15396604"/>
      <w:r>
        <w:rPr>
          <w:rFonts w:hint="eastAsia" w:ascii="黑体" w:hAnsi="黑体" w:eastAsia="黑体"/>
          <w:color w:val="000000"/>
          <w:sz w:val="32"/>
          <w:szCs w:val="32"/>
        </w:rPr>
        <w:t>二、收</w:t>
      </w:r>
      <w:r>
        <w:rPr>
          <w:rStyle w:val="19"/>
          <w:rFonts w:hint="eastAsia" w:ascii="黑体" w:hAnsi="黑体" w:eastAsia="黑体"/>
          <w:b w:val="0"/>
        </w:rPr>
        <w:t>入决算情况说明</w:t>
      </w:r>
      <w:bookmarkEnd w:id="24"/>
      <w:bookmarkEnd w:id="25"/>
    </w:p>
    <w:p>
      <w:pPr>
        <w:pStyle w:val="27"/>
        <w:spacing w:line="600" w:lineRule="exact"/>
        <w:ind w:firstLine="64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年本年收入合计2307.05万元，其中：一般公共预算财政拨款收入2307.05万元，占100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ascii="黑体" w:hAnsi="黑体" w:eastAsia="黑体"/>
          <w:color w:val="000000"/>
          <w:sz w:val="32"/>
          <w:szCs w:val="32"/>
        </w:rPr>
      </w:pPr>
      <w:bookmarkStart w:id="26" w:name="_Toc15396605"/>
      <w:bookmarkStart w:id="27" w:name="_Toc15377207"/>
      <w:r>
        <w:rPr>
          <w:rFonts w:hint="eastAsia" w:ascii="黑体" w:hAnsi="黑体" w:eastAsia="黑体"/>
          <w:color w:val="000000"/>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381000</wp:posOffset>
            </wp:positionV>
            <wp:extent cx="5274310" cy="2676525"/>
            <wp:effectExtent l="19050" t="0" r="21590" b="0"/>
            <wp:wrapSquare wrapText="bothSides"/>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2</w:t>
      </w:r>
      <w:r>
        <w:rPr>
          <w:rFonts w:hint="eastAsia" w:ascii="黑体" w:hAnsi="黑体" w:eastAsia="黑体"/>
          <w:color w:val="000000"/>
          <w:sz w:val="32"/>
          <w:szCs w:val="32"/>
        </w:rPr>
        <w:t>：收入决算结构图</w:t>
      </w:r>
    </w:p>
    <w:p>
      <w:pPr>
        <w:pStyle w:val="27"/>
        <w:spacing w:line="600" w:lineRule="exact"/>
        <w:ind w:firstLine="640"/>
        <w:outlineLvl w:val="1"/>
        <w:rPr>
          <w:rStyle w:val="19"/>
          <w:rFonts w:ascii="黑体" w:hAnsi="黑体" w:eastAsia="黑体"/>
          <w:b w:val="0"/>
        </w:rPr>
      </w:pPr>
      <w:r>
        <w:rPr>
          <w:rFonts w:hint="eastAsia" w:ascii="黑体" w:hAnsi="黑体" w:eastAsia="黑体"/>
          <w:color w:val="000000"/>
          <w:sz w:val="32"/>
          <w:szCs w:val="32"/>
        </w:rPr>
        <w:t>三、支</w:t>
      </w:r>
      <w:r>
        <w:rPr>
          <w:rStyle w:val="19"/>
          <w:rFonts w:hint="eastAsia" w:ascii="黑体" w:hAnsi="黑体" w:eastAsia="黑体"/>
          <w:b w:val="0"/>
        </w:rPr>
        <w:t>出决算情况说明</w:t>
      </w:r>
      <w:bookmarkEnd w:id="26"/>
      <w:bookmarkEnd w:id="27"/>
    </w:p>
    <w:p>
      <w:pPr>
        <w:pStyle w:val="27"/>
        <w:spacing w:line="600" w:lineRule="exact"/>
        <w:ind w:firstLine="64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年本年支出合计1638.05万元，其中：基本支出1076.24万元，占47</w:t>
      </w:r>
      <w:r>
        <w:rPr>
          <w:rFonts w:ascii="仿宋" w:hAnsi="仿宋" w:eastAsia="仿宋"/>
          <w:color w:val="000000"/>
          <w:sz w:val="32"/>
          <w:szCs w:val="32"/>
        </w:rPr>
        <w:t>%</w:t>
      </w:r>
      <w:r>
        <w:rPr>
          <w:rFonts w:hint="eastAsia" w:ascii="仿宋" w:hAnsi="仿宋" w:eastAsia="仿宋"/>
          <w:color w:val="000000"/>
          <w:sz w:val="32"/>
          <w:szCs w:val="32"/>
        </w:rPr>
        <w:t>；项目支出561.81万元，占24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jc w:val="center"/>
        <w:rPr>
          <w:rFonts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1312" behindDoc="0" locked="0" layoutInCell="1" allowOverlap="1">
            <wp:simplePos x="0" y="0"/>
            <wp:positionH relativeFrom="column">
              <wp:posOffset>3810</wp:posOffset>
            </wp:positionH>
            <wp:positionV relativeFrom="paragraph">
              <wp:posOffset>499110</wp:posOffset>
            </wp:positionV>
            <wp:extent cx="5284470" cy="2790190"/>
            <wp:effectExtent l="19050" t="0" r="1143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3</w:t>
      </w:r>
      <w:r>
        <w:rPr>
          <w:rFonts w:hint="eastAsia" w:ascii="黑体" w:hAnsi="黑体" w:eastAsia="黑体"/>
          <w:color w:val="000000"/>
          <w:sz w:val="32"/>
          <w:szCs w:val="32"/>
        </w:rPr>
        <w:t>：支出决算结构图</w:t>
      </w:r>
    </w:p>
    <w:p>
      <w:pPr>
        <w:pStyle w:val="27"/>
        <w:spacing w:line="600" w:lineRule="exact"/>
        <w:ind w:firstLine="640"/>
        <w:outlineLvl w:val="1"/>
        <w:rPr>
          <w:rFonts w:ascii="仿宋" w:hAnsi="仿宋" w:eastAsia="仿宋"/>
          <w:color w:val="000000"/>
          <w:sz w:val="32"/>
          <w:szCs w:val="32"/>
        </w:rPr>
      </w:pPr>
    </w:p>
    <w:p>
      <w:pPr>
        <w:spacing w:line="600" w:lineRule="exact"/>
        <w:ind w:firstLine="640" w:firstLineChars="200"/>
        <w:outlineLvl w:val="1"/>
        <w:rPr>
          <w:rStyle w:val="19"/>
          <w:rFonts w:ascii="黑体" w:hAnsi="黑体" w:eastAsia="黑体"/>
          <w:b w:val="0"/>
        </w:rPr>
      </w:pPr>
      <w:bookmarkStart w:id="28" w:name="_Toc15377208"/>
      <w:bookmarkStart w:id="29" w:name="_Toc15396606"/>
      <w:r>
        <w:rPr>
          <w:rFonts w:hint="eastAsia" w:ascii="黑体" w:hAnsi="黑体" w:eastAsia="黑体"/>
          <w:color w:val="000000"/>
          <w:sz w:val="32"/>
          <w:szCs w:val="32"/>
        </w:rPr>
        <w:t>四、财</w:t>
      </w:r>
      <w:r>
        <w:rPr>
          <w:rStyle w:val="19"/>
          <w:rFonts w:hint="eastAsia" w:ascii="黑体" w:hAnsi="黑体" w:eastAsia="黑体"/>
          <w:b w:val="0"/>
        </w:rPr>
        <w:t>政拨款收入支出决算总体情况说明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年度收入总计2307.05万元，与</w:t>
      </w:r>
      <w:r>
        <w:rPr>
          <w:rFonts w:ascii="仿宋" w:hAnsi="仿宋" w:eastAsia="仿宋"/>
          <w:color w:val="000000"/>
          <w:sz w:val="32"/>
          <w:szCs w:val="32"/>
        </w:rPr>
        <w:t>2019</w:t>
      </w:r>
      <w:r>
        <w:rPr>
          <w:rFonts w:hint="eastAsia" w:ascii="仿宋" w:hAnsi="仿宋" w:eastAsia="仿宋"/>
          <w:color w:val="000000"/>
          <w:sz w:val="32"/>
          <w:szCs w:val="32"/>
        </w:rPr>
        <w:t>年相比，收入总计各增加89.86万元，增长0.04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2020年支付总计1638.05万元，与</w:t>
      </w:r>
      <w:r>
        <w:rPr>
          <w:rFonts w:ascii="仿宋" w:hAnsi="仿宋" w:eastAsia="仿宋"/>
          <w:color w:val="000000"/>
          <w:sz w:val="32"/>
          <w:szCs w:val="32"/>
        </w:rPr>
        <w:t>2019</w:t>
      </w:r>
      <w:r>
        <w:rPr>
          <w:rFonts w:hint="eastAsia" w:ascii="仿宋" w:hAnsi="仿宋" w:eastAsia="仿宋"/>
          <w:color w:val="000000"/>
          <w:sz w:val="32"/>
          <w:szCs w:val="32"/>
        </w:rPr>
        <w:t>年相比，减少总计各减少519.14万元，减少0.04</w:t>
      </w:r>
      <w:r>
        <w:rPr>
          <w:rFonts w:ascii="仿宋" w:hAnsi="仿宋" w:eastAsia="仿宋"/>
          <w:color w:val="000000"/>
          <w:sz w:val="32"/>
          <w:szCs w:val="32"/>
        </w:rPr>
        <w:t>%</w:t>
      </w:r>
      <w:r>
        <w:rPr>
          <w:rFonts w:hint="eastAsia" w:ascii="仿宋" w:hAnsi="仿宋" w:eastAsia="仿宋"/>
          <w:color w:val="000000"/>
          <w:sz w:val="32"/>
          <w:szCs w:val="32"/>
        </w:rPr>
        <w:t>。2020年结余资金669万元。</w:t>
      </w:r>
    </w:p>
    <w:p>
      <w:pPr>
        <w:spacing w:line="600" w:lineRule="exact"/>
        <w:jc w:val="center"/>
        <w:rPr>
          <w:rFonts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2336" behindDoc="0" locked="0" layoutInCell="1" allowOverlap="1">
            <wp:simplePos x="0" y="0"/>
            <wp:positionH relativeFrom="column">
              <wp:posOffset>158115</wp:posOffset>
            </wp:positionH>
            <wp:positionV relativeFrom="paragraph">
              <wp:posOffset>467995</wp:posOffset>
            </wp:positionV>
            <wp:extent cx="5289550" cy="3348355"/>
            <wp:effectExtent l="19050" t="0" r="25400" b="4445"/>
            <wp:wrapSquare wrapText="bothSides"/>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4</w:t>
      </w:r>
      <w:r>
        <w:rPr>
          <w:rFonts w:hint="eastAsia" w:ascii="黑体" w:hAnsi="黑体" w:eastAsia="黑体"/>
          <w:color w:val="000000"/>
          <w:sz w:val="32"/>
          <w:szCs w:val="32"/>
        </w:rPr>
        <w:t>：财政拨款收、支决算总计变动情况</w:t>
      </w:r>
    </w:p>
    <w:p>
      <w:pPr>
        <w:spacing w:line="600" w:lineRule="exact"/>
        <w:ind w:firstLine="640" w:firstLineChars="200"/>
        <w:outlineLvl w:val="1"/>
        <w:rPr>
          <w:rStyle w:val="19"/>
          <w:rFonts w:ascii="黑体" w:hAnsi="黑体" w:eastAsia="黑体"/>
          <w:b w:val="0"/>
        </w:rPr>
      </w:pPr>
      <w:bookmarkStart w:id="30" w:name="_Toc15377209"/>
      <w:bookmarkStart w:id="31"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0"/>
      <w:bookmarkEnd w:id="31"/>
    </w:p>
    <w:p>
      <w:pPr>
        <w:spacing w:line="600" w:lineRule="exact"/>
        <w:ind w:firstLine="642" w:firstLineChars="200"/>
        <w:outlineLvl w:val="2"/>
        <w:rPr>
          <w:rFonts w:ascii="仿宋" w:hAnsi="仿宋" w:eastAsia="仿宋"/>
          <w:b/>
          <w:color w:val="000000"/>
          <w:sz w:val="32"/>
          <w:szCs w:val="32"/>
        </w:rPr>
      </w:pPr>
      <w:bookmarkStart w:id="32" w:name="_Toc15377210"/>
      <w:r>
        <w:rPr>
          <w:rFonts w:hint="eastAsia" w:ascii="仿宋" w:hAnsi="仿宋" w:eastAsia="仿宋"/>
          <w:b/>
          <w:color w:val="000000"/>
          <w:sz w:val="32"/>
          <w:szCs w:val="32"/>
        </w:rPr>
        <w:t>（一）一般公共预算财政拨款支出决算总体情况</w:t>
      </w:r>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年一般公共预算财政拨款支出2307.05万元，占本年支出合计的100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年相比，一般公共预算财政拨款增加89.86万元，增长0.04</w:t>
      </w:r>
      <w:r>
        <w:rPr>
          <w:rFonts w:ascii="仿宋" w:hAnsi="仿宋" w:eastAsia="仿宋"/>
          <w:color w:val="000000"/>
          <w:sz w:val="32"/>
          <w:szCs w:val="32"/>
        </w:rPr>
        <w:t>%</w:t>
      </w:r>
      <w:r>
        <w:rPr>
          <w:rFonts w:hint="eastAsia" w:ascii="仿宋" w:hAnsi="仿宋" w:eastAsia="仿宋"/>
          <w:color w:val="000000"/>
          <w:sz w:val="32"/>
          <w:szCs w:val="32"/>
        </w:rPr>
        <w:t>。主要变动原因是血液试剂耗材量增加。</w:t>
      </w:r>
    </w:p>
    <w:p>
      <w:pPr>
        <w:spacing w:line="600" w:lineRule="exact"/>
        <w:jc w:val="center"/>
        <w:rPr>
          <w:rFonts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3360" behindDoc="0" locked="0" layoutInCell="1" allowOverlap="1">
            <wp:simplePos x="0" y="0"/>
            <wp:positionH relativeFrom="column">
              <wp:posOffset>0</wp:posOffset>
            </wp:positionH>
            <wp:positionV relativeFrom="paragraph">
              <wp:posOffset>381000</wp:posOffset>
            </wp:positionV>
            <wp:extent cx="5274310" cy="2514600"/>
            <wp:effectExtent l="19050" t="0" r="2159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5</w:t>
      </w:r>
      <w:r>
        <w:rPr>
          <w:rFonts w:hint="eastAsia" w:ascii="黑体" w:hAnsi="黑体" w:eastAsia="黑体"/>
          <w:color w:val="000000"/>
          <w:sz w:val="32"/>
          <w:szCs w:val="32"/>
        </w:rPr>
        <w:t>：一般公共预算财政拨款支出决算变动情况</w:t>
      </w:r>
    </w:p>
    <w:p>
      <w:pPr>
        <w:spacing w:line="600" w:lineRule="exact"/>
        <w:ind w:firstLine="642" w:firstLineChars="200"/>
        <w:outlineLvl w:val="2"/>
        <w:rPr>
          <w:rFonts w:ascii="仿宋" w:hAnsi="仿宋" w:eastAsia="仿宋"/>
          <w:b/>
          <w:color w:val="000000"/>
          <w:sz w:val="32"/>
          <w:szCs w:val="32"/>
        </w:rPr>
      </w:pPr>
      <w:bookmarkStart w:id="33" w:name="_Toc15377211"/>
      <w:r>
        <w:rPr>
          <w:rFonts w:hint="eastAsia" w:ascii="仿宋" w:hAnsi="仿宋" w:eastAsia="仿宋"/>
          <w:b/>
          <w:color w:val="000000"/>
          <w:sz w:val="32"/>
          <w:szCs w:val="32"/>
        </w:rPr>
        <w:t>（二）一般公共预算财政拨款支出决算结构情况</w:t>
      </w:r>
      <w:bookmarkEnd w:id="33"/>
    </w:p>
    <w:p>
      <w:pPr>
        <w:spacing w:line="560" w:lineRule="exact"/>
        <w:ind w:firstLine="641"/>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sz w:val="32"/>
          <w:szCs w:val="32"/>
        </w:rPr>
        <w:t>2020年一般公共预算财</w:t>
      </w:r>
      <w:r>
        <w:rPr>
          <w:rFonts w:hint="eastAsia" w:ascii="仿宋_GB2312" w:hAnsi="仿宋" w:eastAsia="仿宋_GB2312"/>
          <w:color w:val="000000" w:themeColor="text1"/>
          <w:sz w:val="32"/>
          <w:szCs w:val="32"/>
          <w14:textFill>
            <w14:solidFill>
              <w14:schemeClr w14:val="tx1"/>
            </w14:solidFill>
          </w14:textFill>
        </w:rPr>
        <w:t>政拨款支出</w:t>
      </w:r>
      <w:r>
        <w:rPr>
          <w:rFonts w:hint="eastAsia" w:ascii="仿宋" w:hAnsi="仿宋" w:eastAsia="仿宋"/>
          <w:color w:val="000000"/>
          <w:sz w:val="32"/>
          <w:szCs w:val="32"/>
        </w:rPr>
        <w:t>1638.05</w:t>
      </w:r>
      <w:r>
        <w:rPr>
          <w:rFonts w:hint="eastAsia" w:ascii="仿宋_GB2312" w:hAnsi="仿宋" w:eastAsia="仿宋_GB2312"/>
          <w:color w:val="000000" w:themeColor="text1"/>
          <w:sz w:val="32"/>
          <w:szCs w:val="32"/>
          <w14:textFill>
            <w14:solidFill>
              <w14:schemeClr w14:val="tx1"/>
            </w14:solidFill>
          </w14:textFill>
        </w:rPr>
        <w:t>万元，主要用于以下方面:</w:t>
      </w:r>
      <w:r>
        <w:rPr>
          <w:rFonts w:hint="eastAsia" w:ascii="仿宋_GB2312" w:hAnsi="仿宋" w:eastAsia="仿宋_GB2312"/>
          <w:b/>
          <w:color w:val="000000" w:themeColor="text1"/>
          <w:sz w:val="32"/>
          <w:szCs w:val="32"/>
          <w14:textFill>
            <w14:solidFill>
              <w14:schemeClr w14:val="tx1"/>
            </w14:solidFill>
          </w14:textFill>
        </w:rPr>
        <w:t>一般公共服务（类）</w:t>
      </w:r>
      <w:r>
        <w:rPr>
          <w:rFonts w:hint="eastAsia" w:ascii="仿宋_GB2312" w:hAnsi="仿宋" w:eastAsia="仿宋_GB2312"/>
          <w:color w:val="000000" w:themeColor="text1"/>
          <w:sz w:val="32"/>
          <w:szCs w:val="32"/>
          <w14:textFill>
            <w14:solidFill>
              <w14:schemeClr w14:val="tx1"/>
            </w14:solidFill>
          </w14:textFill>
        </w:rPr>
        <w:t>支出0万元，占0%；</w:t>
      </w:r>
      <w:r>
        <w:rPr>
          <w:rFonts w:hint="eastAsia" w:ascii="仿宋_GB2312" w:hAnsi="仿宋" w:eastAsia="仿宋_GB2312"/>
          <w:b/>
          <w:color w:val="000000" w:themeColor="text1"/>
          <w:sz w:val="32"/>
          <w:szCs w:val="32"/>
          <w14:textFill>
            <w14:solidFill>
              <w14:schemeClr w14:val="tx1"/>
            </w14:solidFill>
          </w14:textFill>
        </w:rPr>
        <w:t>教育支出（类）</w:t>
      </w:r>
      <w:r>
        <w:rPr>
          <w:rFonts w:hint="eastAsia" w:ascii="仿宋_GB2312" w:hAnsi="仿宋" w:eastAsia="仿宋_GB2312"/>
          <w:color w:val="000000" w:themeColor="text1"/>
          <w:sz w:val="32"/>
          <w:szCs w:val="32"/>
          <w14:textFill>
            <w14:solidFill>
              <w14:schemeClr w14:val="tx1"/>
            </w14:solidFill>
          </w14:textFill>
        </w:rPr>
        <w:t>0万元，占0%；</w:t>
      </w:r>
      <w:r>
        <w:rPr>
          <w:rFonts w:hint="eastAsia" w:ascii="仿宋_GB2312" w:hAnsi="仿宋" w:eastAsia="仿宋_GB2312"/>
          <w:b/>
          <w:color w:val="000000" w:themeColor="text1"/>
          <w:sz w:val="32"/>
          <w:szCs w:val="32"/>
          <w14:textFill>
            <w14:solidFill>
              <w14:schemeClr w14:val="tx1"/>
            </w14:solidFill>
          </w14:textFill>
        </w:rPr>
        <w:t>科学技术（类）</w:t>
      </w:r>
      <w:r>
        <w:rPr>
          <w:rFonts w:hint="eastAsia" w:ascii="仿宋_GB2312" w:hAnsi="仿宋" w:eastAsia="仿宋_GB2312"/>
          <w:color w:val="000000" w:themeColor="text1"/>
          <w:sz w:val="32"/>
          <w:szCs w:val="32"/>
          <w14:textFill>
            <w14:solidFill>
              <w14:schemeClr w14:val="tx1"/>
            </w14:solidFill>
          </w14:textFill>
        </w:rPr>
        <w:t>支出0万元，占0%；</w:t>
      </w:r>
      <w:r>
        <w:rPr>
          <w:rFonts w:hint="eastAsia" w:ascii="仿宋_GB2312" w:hAnsi="仿宋" w:eastAsia="仿宋_GB2312"/>
          <w:b/>
          <w:color w:val="000000" w:themeColor="text1"/>
          <w:sz w:val="32"/>
          <w:szCs w:val="32"/>
          <w14:textFill>
            <w14:solidFill>
              <w14:schemeClr w14:val="tx1"/>
            </w14:solidFill>
          </w14:textFill>
        </w:rPr>
        <w:t>社会保障和就业（类）</w:t>
      </w:r>
      <w:r>
        <w:rPr>
          <w:rFonts w:hint="eastAsia" w:ascii="仿宋_GB2312" w:hAnsi="仿宋" w:eastAsia="仿宋_GB2312"/>
          <w:color w:val="000000" w:themeColor="text1"/>
          <w:sz w:val="32"/>
          <w:szCs w:val="32"/>
          <w14:textFill>
            <w14:solidFill>
              <w14:schemeClr w14:val="tx1"/>
            </w14:solidFill>
          </w14:textFill>
        </w:rPr>
        <w:t>支出37.29万元，占2.3%；</w:t>
      </w:r>
      <w:r>
        <w:rPr>
          <w:rFonts w:hint="eastAsia" w:ascii="仿宋_GB2312" w:hAnsi="仿宋" w:eastAsia="仿宋_GB2312"/>
          <w:b/>
          <w:color w:val="000000" w:themeColor="text1"/>
          <w:sz w:val="32"/>
          <w:szCs w:val="32"/>
          <w14:textFill>
            <w14:solidFill>
              <w14:schemeClr w14:val="tx1"/>
            </w14:solidFill>
          </w14:textFill>
        </w:rPr>
        <w:t>卫生健康</w:t>
      </w:r>
      <w:r>
        <w:rPr>
          <w:rFonts w:hint="eastAsia" w:ascii="仿宋_GB2312" w:hAnsi="仿宋" w:eastAsia="仿宋_GB2312"/>
          <w:color w:val="000000" w:themeColor="text1"/>
          <w:sz w:val="32"/>
          <w:szCs w:val="32"/>
          <w14:textFill>
            <w14:solidFill>
              <w14:schemeClr w14:val="tx1"/>
            </w14:solidFill>
          </w14:textFill>
        </w:rPr>
        <w:t>支出1561.67万元，占95%；</w:t>
      </w:r>
      <w:r>
        <w:rPr>
          <w:rFonts w:hint="eastAsia" w:ascii="仿宋_GB2312" w:hAnsi="仿宋" w:eastAsia="仿宋_GB2312"/>
          <w:b/>
          <w:color w:val="000000" w:themeColor="text1"/>
          <w:sz w:val="32"/>
          <w:szCs w:val="32"/>
          <w14:textFill>
            <w14:solidFill>
              <w14:schemeClr w14:val="tx1"/>
            </w14:solidFill>
          </w14:textFill>
        </w:rPr>
        <w:t>住房保障</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 w:hAnsi="仿宋" w:eastAsia="仿宋"/>
          <w:color w:val="000000"/>
          <w:sz w:val="32"/>
          <w:szCs w:val="32"/>
        </w:rPr>
        <w:t>39.09</w:t>
      </w:r>
      <w:r>
        <w:rPr>
          <w:rFonts w:hint="eastAsia" w:ascii="仿宋_GB2312" w:hAnsi="仿宋" w:eastAsia="仿宋_GB2312"/>
          <w:color w:val="000000" w:themeColor="text1"/>
          <w:sz w:val="32"/>
          <w:szCs w:val="32"/>
          <w14:textFill>
            <w14:solidFill>
              <w14:schemeClr w14:val="tx1"/>
            </w14:solidFill>
          </w14:textFill>
        </w:rPr>
        <w:t>万元，占2.4%。</w:t>
      </w:r>
    </w:p>
    <w:p>
      <w:pPr>
        <w:spacing w:line="600" w:lineRule="exact"/>
        <w:jc w:val="center"/>
        <w:rPr>
          <w:rFonts w:ascii="黑体" w:hAnsi="黑体" w:eastAsia="黑体"/>
          <w:color w:val="000000"/>
          <w:sz w:val="32"/>
          <w:szCs w:val="32"/>
        </w:rPr>
      </w:pPr>
      <w:r>
        <w:rPr>
          <w:rFonts w:hint="eastAsia" w:ascii="黑体" w:hAnsi="黑体" w:eastAsia="黑体"/>
          <w:color w:val="000000"/>
          <w:sz w:val="32"/>
          <w:szCs w:val="32"/>
        </w:rPr>
        <w:drawing>
          <wp:anchor distT="0" distB="0" distL="114300" distR="114300" simplePos="0" relativeHeight="251664384" behindDoc="0" locked="0" layoutInCell="1" allowOverlap="1">
            <wp:simplePos x="0" y="0"/>
            <wp:positionH relativeFrom="column">
              <wp:posOffset>0</wp:posOffset>
            </wp:positionH>
            <wp:positionV relativeFrom="paragraph">
              <wp:posOffset>381000</wp:posOffset>
            </wp:positionV>
            <wp:extent cx="5274310" cy="2419350"/>
            <wp:effectExtent l="19050" t="0" r="2159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黑体" w:hAnsi="黑体" w:eastAsia="黑体"/>
          <w:color w:val="000000"/>
          <w:sz w:val="32"/>
          <w:szCs w:val="32"/>
        </w:rPr>
        <w:t>图</w:t>
      </w:r>
      <w:r>
        <w:rPr>
          <w:rFonts w:ascii="黑体" w:hAnsi="黑体" w:eastAsia="黑体"/>
          <w:color w:val="000000"/>
          <w:sz w:val="32"/>
          <w:szCs w:val="32"/>
        </w:rPr>
        <w:t>6</w:t>
      </w:r>
      <w:r>
        <w:rPr>
          <w:rFonts w:hint="eastAsia" w:ascii="黑体" w:hAnsi="黑体" w:eastAsia="黑体"/>
          <w:color w:val="000000"/>
          <w:sz w:val="32"/>
          <w:szCs w:val="32"/>
        </w:rPr>
        <w:t>：一般公共预算财政拨款支出决算结构</w:t>
      </w:r>
    </w:p>
    <w:p>
      <w:pPr>
        <w:spacing w:line="560" w:lineRule="exact"/>
        <w:ind w:firstLine="641"/>
        <w:rPr>
          <w:rFonts w:ascii="仿宋_GB2312" w:hAnsi="仿宋" w:eastAsia="仿宋_GB2312"/>
          <w:color w:val="000000" w:themeColor="text1"/>
          <w:sz w:val="32"/>
          <w:szCs w:val="32"/>
          <w14:textFill>
            <w14:solidFill>
              <w14:schemeClr w14:val="tx1"/>
            </w14:solidFill>
          </w14:textFill>
        </w:rPr>
      </w:pPr>
    </w:p>
    <w:p>
      <w:pPr>
        <w:spacing w:line="600" w:lineRule="exact"/>
        <w:ind w:firstLine="642" w:firstLineChars="200"/>
        <w:outlineLvl w:val="2"/>
        <w:rPr>
          <w:rFonts w:ascii="仿宋" w:hAnsi="仿宋" w:eastAsia="仿宋"/>
          <w:b/>
          <w:color w:val="000000"/>
          <w:sz w:val="32"/>
          <w:szCs w:val="32"/>
        </w:rPr>
      </w:pPr>
      <w:bookmarkStart w:id="34" w:name="_Toc15377212"/>
      <w:r>
        <w:rPr>
          <w:rFonts w:hint="eastAsia" w:ascii="仿宋" w:hAnsi="仿宋" w:eastAsia="仿宋"/>
          <w:b/>
          <w:color w:val="000000"/>
          <w:sz w:val="32"/>
          <w:szCs w:val="32"/>
        </w:rPr>
        <w:t>（三）一般公共预算财政拨款支出决算具体情况</w:t>
      </w:r>
      <w:bookmarkEnd w:id="34"/>
    </w:p>
    <w:p>
      <w:pPr>
        <w:spacing w:line="600" w:lineRule="exact"/>
        <w:ind w:firstLine="642" w:firstLineChars="200"/>
        <w:outlineLvl w:val="2"/>
        <w:rPr>
          <w:rStyle w:val="14"/>
          <w:rFonts w:ascii="仿宋" w:hAnsi="仿宋" w:eastAsia="仿宋"/>
          <w:bCs/>
          <w:color w:val="000000"/>
          <w:sz w:val="32"/>
          <w:szCs w:val="32"/>
        </w:rPr>
      </w:pPr>
      <w:bookmarkStart w:id="35" w:name="_Toc15378460"/>
      <w:bookmarkStart w:id="36" w:name="_Toc15377444"/>
      <w:bookmarkStart w:id="37"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年一般公共预算支出决算数为1638.05万元</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完成预算71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5"/>
      <w:bookmarkEnd w:id="36"/>
      <w:bookmarkEnd w:id="37"/>
    </w:p>
    <w:p>
      <w:pPr>
        <w:spacing w:line="600" w:lineRule="exact"/>
        <w:ind w:firstLine="618" w:firstLineChars="200"/>
        <w:rPr>
          <w:rStyle w:val="14"/>
          <w:rFonts w:ascii="仿宋" w:hAnsi="仿宋" w:eastAsia="仿宋"/>
          <w:b w:val="0"/>
          <w:bCs/>
          <w:color w:val="000000"/>
          <w:spacing w:val="-6"/>
          <w:sz w:val="32"/>
          <w:szCs w:val="32"/>
        </w:rPr>
      </w:pPr>
      <w:r>
        <w:rPr>
          <w:rStyle w:val="14"/>
          <w:rFonts w:hint="eastAsia" w:ascii="仿宋_GB2312" w:hAnsi="仿宋" w:eastAsia="仿宋_GB2312"/>
          <w:bCs/>
          <w:color w:val="000000"/>
          <w:spacing w:val="-6"/>
          <w:sz w:val="32"/>
          <w:szCs w:val="32"/>
        </w:rPr>
        <w:t>1.社会保障和就业（类）行政事业单位离退休（款）机关事业单位基本养老保险缴费（项）:</w:t>
      </w:r>
      <w:r>
        <w:rPr>
          <w:rStyle w:val="14"/>
          <w:rFonts w:hint="eastAsia" w:ascii="仿宋_GB2312" w:hAnsi="仿宋" w:eastAsia="仿宋_GB2312"/>
          <w:b w:val="0"/>
          <w:bCs/>
          <w:color w:val="000000"/>
          <w:spacing w:val="-6"/>
          <w:sz w:val="32"/>
          <w:szCs w:val="32"/>
        </w:rPr>
        <w:t xml:space="preserve"> </w:t>
      </w:r>
      <w:r>
        <w:rPr>
          <w:rStyle w:val="14"/>
          <w:rFonts w:hint="eastAsia" w:ascii="仿宋" w:hAnsi="仿宋" w:eastAsia="仿宋"/>
          <w:b w:val="0"/>
          <w:bCs/>
          <w:color w:val="000000"/>
          <w:spacing w:val="-6"/>
          <w:sz w:val="32"/>
          <w:szCs w:val="32"/>
        </w:rPr>
        <w:t>37.29万元，完成预算100</w:t>
      </w:r>
      <w:r>
        <w:rPr>
          <w:rStyle w:val="14"/>
          <w:rFonts w:ascii="仿宋" w:hAnsi="仿宋" w:eastAsia="仿宋"/>
          <w:b w:val="0"/>
          <w:bCs/>
          <w:color w:val="000000"/>
          <w:spacing w:val="-6"/>
          <w:sz w:val="32"/>
          <w:szCs w:val="32"/>
        </w:rPr>
        <w:t>%</w:t>
      </w:r>
      <w:r>
        <w:rPr>
          <w:rStyle w:val="14"/>
          <w:rFonts w:hint="eastAsia" w:ascii="仿宋" w:hAnsi="仿宋" w:eastAsia="仿宋"/>
          <w:b w:val="0"/>
          <w:bCs/>
          <w:color w:val="000000"/>
          <w:spacing w:val="-6"/>
          <w:sz w:val="32"/>
          <w:szCs w:val="32"/>
        </w:rPr>
        <w:t>。</w:t>
      </w:r>
    </w:p>
    <w:p>
      <w:pPr>
        <w:spacing w:line="560" w:lineRule="exact"/>
        <w:ind w:firstLine="642" w:firstLineChars="200"/>
        <w:rPr>
          <w:rStyle w:val="14"/>
          <w:rFonts w:ascii="仿宋_GB2312" w:hAnsi="仿宋" w:eastAsia="仿宋_GB2312"/>
          <w:b w:val="0"/>
          <w:bCs/>
          <w:color w:val="000000"/>
          <w:sz w:val="32"/>
          <w:szCs w:val="32"/>
        </w:rPr>
      </w:pPr>
      <w:r>
        <w:rPr>
          <w:rStyle w:val="14"/>
          <w:rFonts w:hint="eastAsia" w:ascii="仿宋_GB2312" w:hAnsi="仿宋" w:eastAsia="仿宋_GB2312"/>
          <w:bCs/>
          <w:color w:val="000000"/>
          <w:sz w:val="32"/>
          <w:szCs w:val="32"/>
        </w:rPr>
        <w:t>2.卫生健康（类）公共卫生（款）采供血机构（项）:</w:t>
      </w:r>
      <w:r>
        <w:rPr>
          <w:rStyle w:val="14"/>
          <w:rFonts w:hint="eastAsia" w:ascii="仿宋_GB2312" w:hAnsi="仿宋" w:eastAsia="仿宋_GB2312"/>
          <w:b w:val="0"/>
          <w:bCs/>
          <w:color w:val="000000"/>
          <w:sz w:val="32"/>
          <w:szCs w:val="32"/>
        </w:rPr>
        <w:t>支出决算为1456.37万元，完成预算93%。</w:t>
      </w:r>
    </w:p>
    <w:p>
      <w:pPr>
        <w:spacing w:line="560" w:lineRule="exact"/>
        <w:ind w:firstLine="642" w:firstLineChars="200"/>
        <w:rPr>
          <w:rFonts w:ascii="仿宋_GB2312" w:hAnsi="仿宋" w:eastAsia="仿宋_GB2312"/>
          <w:bCs/>
          <w:color w:val="000000"/>
          <w:sz w:val="32"/>
          <w:szCs w:val="32"/>
        </w:rPr>
      </w:pPr>
      <w:r>
        <w:rPr>
          <w:rStyle w:val="14"/>
          <w:rFonts w:hint="eastAsia" w:ascii="仿宋_GB2312" w:hAnsi="仿宋" w:eastAsia="仿宋_GB2312"/>
          <w:bCs/>
          <w:color w:val="000000"/>
          <w:sz w:val="32"/>
          <w:szCs w:val="32"/>
        </w:rPr>
        <w:t>3. 住房保障支出（类）住房改革支出（款）住房公积金（项）：</w:t>
      </w:r>
      <w:r>
        <w:rPr>
          <w:rStyle w:val="14"/>
          <w:rFonts w:hint="eastAsia" w:ascii="仿宋_GB2312" w:hAnsi="仿宋" w:eastAsia="仿宋_GB2312"/>
          <w:b w:val="0"/>
          <w:bCs/>
          <w:color w:val="000000"/>
          <w:sz w:val="32"/>
          <w:szCs w:val="32"/>
        </w:rPr>
        <w:t>支出决算为39.09万元，完成预算100%。</w:t>
      </w:r>
    </w:p>
    <w:p>
      <w:pPr>
        <w:spacing w:line="560" w:lineRule="exact"/>
        <w:ind w:firstLine="642" w:firstLineChars="200"/>
        <w:rPr>
          <w:rStyle w:val="14"/>
          <w:rFonts w:ascii="仿宋_GB2312" w:hAnsi="仿宋" w:eastAsia="仿宋_GB2312"/>
          <w:b w:val="0"/>
          <w:bCs/>
          <w:color w:val="000000"/>
          <w:sz w:val="32"/>
          <w:szCs w:val="32"/>
        </w:rPr>
      </w:pPr>
      <w:r>
        <w:rPr>
          <w:rStyle w:val="14"/>
          <w:rFonts w:hint="eastAsia" w:ascii="仿宋_GB2312" w:hAnsi="仿宋" w:eastAsia="仿宋_GB2312"/>
          <w:bCs/>
          <w:color w:val="000000"/>
          <w:sz w:val="32"/>
          <w:szCs w:val="32"/>
        </w:rPr>
        <w:t>4. 卫生健康（类）公共卫生（款）重大公共卫生专项（项）：</w:t>
      </w:r>
      <w:r>
        <w:rPr>
          <w:rStyle w:val="14"/>
          <w:rFonts w:hint="eastAsia" w:ascii="仿宋_GB2312" w:hAnsi="仿宋" w:eastAsia="仿宋_GB2312"/>
          <w:b w:val="0"/>
          <w:bCs/>
          <w:color w:val="000000"/>
          <w:sz w:val="32"/>
          <w:szCs w:val="32"/>
        </w:rPr>
        <w:t>支出决算为80.6万元，完成预算100%。</w:t>
      </w:r>
    </w:p>
    <w:p>
      <w:pPr>
        <w:spacing w:line="560" w:lineRule="exact"/>
        <w:ind w:firstLine="642" w:firstLineChars="200"/>
        <w:rPr>
          <w:rStyle w:val="14"/>
          <w:rFonts w:ascii="仿宋_GB2312" w:hAnsi="仿宋" w:eastAsia="仿宋_GB2312"/>
          <w:b w:val="0"/>
          <w:bCs/>
          <w:color w:val="000000"/>
          <w:sz w:val="32"/>
          <w:szCs w:val="32"/>
        </w:rPr>
      </w:pPr>
      <w:r>
        <w:rPr>
          <w:rStyle w:val="14"/>
          <w:rFonts w:hint="eastAsia" w:ascii="仿宋_GB2312" w:hAnsi="仿宋" w:eastAsia="仿宋_GB2312"/>
          <w:bCs/>
          <w:color w:val="000000"/>
          <w:sz w:val="32"/>
          <w:szCs w:val="32"/>
        </w:rPr>
        <w:t>5. 卫生健康（类）公共卫生（款）突发公共卫生事件应急处理（项）：</w:t>
      </w:r>
      <w:r>
        <w:rPr>
          <w:rStyle w:val="14"/>
          <w:rFonts w:hint="eastAsia" w:ascii="仿宋_GB2312" w:hAnsi="仿宋" w:eastAsia="仿宋_GB2312"/>
          <w:b w:val="0"/>
          <w:bCs/>
          <w:color w:val="000000"/>
          <w:sz w:val="32"/>
          <w:szCs w:val="32"/>
        </w:rPr>
        <w:t>支出决算为3.71万元，完成预算100%。</w:t>
      </w:r>
    </w:p>
    <w:p>
      <w:pPr>
        <w:spacing w:line="560" w:lineRule="exact"/>
        <w:ind w:firstLine="642" w:firstLineChars="200"/>
        <w:rPr>
          <w:rStyle w:val="14"/>
          <w:rFonts w:ascii="仿宋_GB2312" w:hAnsi="仿宋" w:eastAsia="仿宋_GB2312"/>
          <w:b w:val="0"/>
          <w:bCs/>
          <w:color w:val="000000"/>
          <w:sz w:val="32"/>
          <w:szCs w:val="32"/>
        </w:rPr>
      </w:pPr>
      <w:r>
        <w:rPr>
          <w:rStyle w:val="14"/>
          <w:rFonts w:hint="eastAsia" w:ascii="仿宋_GB2312" w:hAnsi="仿宋" w:eastAsia="仿宋_GB2312"/>
          <w:bCs/>
          <w:color w:val="000000"/>
          <w:sz w:val="32"/>
          <w:szCs w:val="32"/>
        </w:rPr>
        <w:t>6. 卫生健康（类）行政事业单位医疗（款）事业单位医疗（项）：</w:t>
      </w:r>
      <w:r>
        <w:rPr>
          <w:rStyle w:val="14"/>
          <w:rFonts w:hint="eastAsia" w:ascii="仿宋_GB2312" w:hAnsi="仿宋" w:eastAsia="仿宋_GB2312"/>
          <w:b w:val="0"/>
          <w:bCs/>
          <w:color w:val="000000"/>
          <w:sz w:val="32"/>
          <w:szCs w:val="32"/>
        </w:rPr>
        <w:t>支出决算为20.99万元，完成预算100%。</w:t>
      </w:r>
    </w:p>
    <w:p>
      <w:pPr>
        <w:tabs>
          <w:tab w:val="right" w:pos="8306"/>
        </w:tabs>
        <w:spacing w:line="600" w:lineRule="exact"/>
        <w:ind w:firstLine="640" w:firstLineChars="200"/>
        <w:outlineLvl w:val="1"/>
        <w:rPr>
          <w:rStyle w:val="19"/>
        </w:rPr>
      </w:pPr>
      <w:bookmarkStart w:id="38" w:name="_Toc15396608"/>
      <w:bookmarkStart w:id="39"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38"/>
      <w:bookmarkEnd w:id="39"/>
      <w:r>
        <w:rPr>
          <w:rStyle w:val="19"/>
          <w:rFonts w:ascii="黑体" w:hAnsi="黑体" w:eastAsia="黑体"/>
          <w:b w:val="0"/>
        </w:rPr>
        <w:tab/>
      </w:r>
    </w:p>
    <w:p>
      <w:pPr>
        <w:spacing w:line="600" w:lineRule="exact"/>
        <w:ind w:firstLine="624" w:firstLineChars="19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1062.26万元，其中：人员经费934.54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24" w:firstLineChars="195"/>
        <w:rPr>
          <w:rFonts w:ascii="仿宋" w:hAnsi="仿宋" w:eastAsia="仿宋"/>
          <w:color w:val="000000"/>
          <w:sz w:val="32"/>
          <w:szCs w:val="32"/>
        </w:rPr>
      </w:pPr>
      <w:r>
        <w:rPr>
          <w:rFonts w:hint="eastAsia" w:ascii="仿宋" w:hAnsi="仿宋" w:eastAsia="仿宋"/>
          <w:color w:val="000000"/>
          <w:sz w:val="32"/>
          <w:szCs w:val="32"/>
        </w:rPr>
        <w:t>日常公用经费127.72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19"/>
          <w:rFonts w:ascii="黑体" w:hAnsi="黑体" w:eastAsia="黑体"/>
          <w:b w:val="0"/>
        </w:rPr>
      </w:pPr>
      <w:bookmarkStart w:id="40" w:name="_Toc15377215"/>
      <w:bookmarkStart w:id="41" w:name="_Toc15396609"/>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0"/>
      <w:bookmarkEnd w:id="41"/>
    </w:p>
    <w:p>
      <w:pPr>
        <w:spacing w:line="600" w:lineRule="exact"/>
        <w:ind w:firstLine="642" w:firstLineChars="200"/>
        <w:outlineLvl w:val="2"/>
        <w:rPr>
          <w:rFonts w:ascii="仿宋" w:hAnsi="仿宋" w:eastAsia="仿宋"/>
          <w:b/>
          <w:color w:val="000000"/>
          <w:sz w:val="32"/>
          <w:szCs w:val="32"/>
        </w:rPr>
      </w:pPr>
      <w:bookmarkStart w:id="42" w:name="_Toc15377216"/>
      <w:r>
        <w:rPr>
          <w:rFonts w:hint="eastAsia" w:ascii="仿宋" w:hAnsi="仿宋" w:eastAsia="仿宋"/>
          <w:b/>
          <w:color w:val="000000"/>
          <w:sz w:val="32"/>
          <w:szCs w:val="32"/>
        </w:rPr>
        <w:t>（一）“三公”经费财政拨款支出决算总体情况说明</w:t>
      </w:r>
      <w:bookmarkEnd w:id="4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年“三公”经费财政拨款支出决算为5.6万元，完成预算100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2" w:firstLineChars="200"/>
        <w:outlineLvl w:val="2"/>
        <w:rPr>
          <w:rFonts w:ascii="仿宋" w:hAnsi="仿宋" w:eastAsia="仿宋"/>
          <w:b/>
          <w:color w:val="000000"/>
          <w:sz w:val="32"/>
          <w:szCs w:val="32"/>
        </w:rPr>
      </w:pPr>
      <w:bookmarkStart w:id="43" w:name="_Toc15377217"/>
      <w:r>
        <w:rPr>
          <w:rFonts w:hint="eastAsia" w:ascii="仿宋" w:hAnsi="仿宋" w:eastAsia="仿宋"/>
          <w:b/>
          <w:color w:val="000000"/>
          <w:sz w:val="32"/>
          <w:szCs w:val="32"/>
        </w:rPr>
        <w:t>（二）“三公”经费财政拨款支出决算具体情况说明</w:t>
      </w:r>
      <w:bookmarkEnd w:id="43"/>
    </w:p>
    <w:p>
      <w:pPr>
        <w:spacing w:line="600" w:lineRule="exact"/>
        <w:ind w:firstLine="560" w:firstLineChars="200"/>
        <w:rPr>
          <w:rFonts w:ascii="仿宋" w:hAnsi="仿宋" w:eastAsia="仿宋"/>
          <w:color w:val="000000"/>
          <w:spacing w:val="-20"/>
          <w:sz w:val="32"/>
          <w:szCs w:val="32"/>
        </w:rPr>
      </w:pPr>
      <w:r>
        <w:rPr>
          <w:rFonts w:ascii="仿宋" w:hAnsi="仿宋" w:eastAsia="仿宋"/>
          <w:color w:val="000000"/>
          <w:spacing w:val="-20"/>
          <w:sz w:val="32"/>
          <w:szCs w:val="32"/>
        </w:rPr>
        <w:t>2020</w:t>
      </w:r>
      <w:r>
        <w:rPr>
          <w:rFonts w:hint="eastAsia" w:ascii="仿宋" w:hAnsi="仿宋" w:eastAsia="仿宋"/>
          <w:color w:val="000000"/>
          <w:spacing w:val="-20"/>
          <w:sz w:val="32"/>
          <w:szCs w:val="32"/>
        </w:rPr>
        <w:t>年“三公”经费财政拨款支出决算中，因公出国（境）费支出决算0万元，占0</w:t>
      </w:r>
      <w:r>
        <w:rPr>
          <w:rFonts w:ascii="仿宋" w:hAnsi="仿宋" w:eastAsia="仿宋"/>
          <w:color w:val="000000"/>
          <w:spacing w:val="-20"/>
          <w:sz w:val="32"/>
          <w:szCs w:val="32"/>
        </w:rPr>
        <w:t>%</w:t>
      </w:r>
      <w:r>
        <w:rPr>
          <w:rFonts w:hint="eastAsia" w:ascii="仿宋" w:hAnsi="仿宋" w:eastAsia="仿宋"/>
          <w:color w:val="000000"/>
          <w:spacing w:val="-20"/>
          <w:sz w:val="32"/>
          <w:szCs w:val="32"/>
        </w:rPr>
        <w:t>；公务用车购置及运行维护费支出决算0万元，占0</w:t>
      </w:r>
      <w:r>
        <w:rPr>
          <w:rFonts w:ascii="仿宋" w:hAnsi="仿宋" w:eastAsia="仿宋"/>
          <w:color w:val="000000"/>
          <w:spacing w:val="-20"/>
          <w:sz w:val="32"/>
          <w:szCs w:val="32"/>
        </w:rPr>
        <w:t>%</w:t>
      </w:r>
      <w:r>
        <w:rPr>
          <w:rFonts w:hint="eastAsia" w:ascii="仿宋" w:hAnsi="仿宋" w:eastAsia="仿宋"/>
          <w:color w:val="000000"/>
          <w:spacing w:val="-20"/>
          <w:sz w:val="32"/>
          <w:szCs w:val="32"/>
        </w:rPr>
        <w:t>；公务接待费支出决算0万元，占0</w:t>
      </w:r>
      <w:r>
        <w:rPr>
          <w:rFonts w:ascii="仿宋" w:hAnsi="仿宋" w:eastAsia="仿宋"/>
          <w:color w:val="000000"/>
          <w:spacing w:val="-20"/>
          <w:sz w:val="32"/>
          <w:szCs w:val="32"/>
        </w:rPr>
        <w:t>%</w:t>
      </w:r>
      <w:r>
        <w:rPr>
          <w:rFonts w:hint="eastAsia" w:ascii="仿宋" w:hAnsi="仿宋" w:eastAsia="仿宋"/>
          <w:color w:val="000000"/>
          <w:spacing w:val="-20"/>
          <w:sz w:val="32"/>
          <w:szCs w:val="32"/>
        </w:rPr>
        <w:t>。具体情况如下：</w:t>
      </w:r>
    </w:p>
    <w:p>
      <w:pPr>
        <w:spacing w:line="600" w:lineRule="exact"/>
        <w:ind w:firstLine="642" w:firstLineChars="20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全年安排因公出国（境）团组0次，出国（境）0人。因公出国（境）支出决算与</w:t>
      </w:r>
      <w:r>
        <w:rPr>
          <w:rFonts w:ascii="仿宋_GB2312" w:eastAsia="仿宋_GB2312"/>
          <w:color w:val="000000"/>
          <w:sz w:val="32"/>
          <w:szCs w:val="32"/>
        </w:rPr>
        <w:t>201</w:t>
      </w:r>
      <w:r>
        <w:rPr>
          <w:rFonts w:hint="eastAsia" w:ascii="仿宋_GB2312" w:eastAsia="仿宋_GB2312"/>
          <w:color w:val="000000"/>
          <w:sz w:val="32"/>
          <w:szCs w:val="32"/>
        </w:rPr>
        <w:t>9年相等。</w:t>
      </w:r>
    </w:p>
    <w:p>
      <w:pPr>
        <w:spacing w:line="600" w:lineRule="exact"/>
        <w:ind w:firstLine="642"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3.9万元</w:t>
      </w:r>
      <w:r>
        <w:rPr>
          <w:rFonts w:ascii="仿宋_GB2312" w:eastAsia="仿宋_GB2312"/>
          <w:color w:val="000000"/>
          <w:sz w:val="32"/>
          <w:szCs w:val="32"/>
        </w:rPr>
        <w:t>,</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9年减少0.1万元，降0.1</w:t>
      </w:r>
      <w:r>
        <w:rPr>
          <w:rFonts w:ascii="仿宋_GB2312" w:eastAsia="仿宋_GB2312"/>
          <w:color w:val="000000"/>
          <w:sz w:val="32"/>
          <w:szCs w:val="32"/>
        </w:rPr>
        <w:t>%</w:t>
      </w:r>
      <w:r>
        <w:rPr>
          <w:rFonts w:hint="eastAsia" w:ascii="仿宋_GB2312" w:eastAsia="仿宋_GB2312"/>
          <w:color w:val="000000"/>
          <w:sz w:val="32"/>
          <w:szCs w:val="32"/>
        </w:rPr>
        <w:t>。主要原因是财政压减支出。</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0万元。全年按规定更新购置公务用车0辆，其中：轿车0辆、金额0万元，越野车0辆、金额00万元，载客汽车0辆、金额0万元，主要用于无。截至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月底，单位共有公务用车9辆，其中：轿车4辆、越野车1辆、采血车4辆、载客汽车0辆。</w:t>
      </w:r>
    </w:p>
    <w:p>
      <w:pPr>
        <w:spacing w:line="600" w:lineRule="exact"/>
        <w:ind w:firstLine="642" w:firstLineChars="20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3.9万元。主要用于采购血业务、采血、送血等所需的公务用车燃料费、维修费、过路过桥费、保险费等支出。</w:t>
      </w:r>
    </w:p>
    <w:p>
      <w:pPr>
        <w:spacing w:line="600" w:lineRule="exact"/>
        <w:ind w:firstLine="642" w:firstLineChars="20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1.7万元，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年减少0.1万元，下降0.1</w:t>
      </w:r>
      <w:r>
        <w:rPr>
          <w:rFonts w:ascii="仿宋_GB2312" w:eastAsia="仿宋_GB2312"/>
          <w:color w:val="000000"/>
          <w:sz w:val="32"/>
          <w:szCs w:val="32"/>
        </w:rPr>
        <w:t>%</w:t>
      </w:r>
      <w:r>
        <w:rPr>
          <w:rFonts w:hint="eastAsia" w:ascii="仿宋_GB2312" w:eastAsia="仿宋_GB2312"/>
          <w:color w:val="000000"/>
          <w:sz w:val="32"/>
          <w:szCs w:val="32"/>
        </w:rPr>
        <w:t>。主要原因是财政压减支出。其中：</w:t>
      </w:r>
    </w:p>
    <w:p>
      <w:pPr>
        <w:spacing w:line="600" w:lineRule="exact"/>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1.7</w:t>
      </w:r>
      <w:r>
        <w:rPr>
          <w:rFonts w:hint="eastAsia" w:ascii="仿宋_GB2312" w:eastAsia="仿宋_GB2312"/>
          <w:color w:val="000000"/>
          <w:sz w:val="32"/>
          <w:szCs w:val="32"/>
        </w:rPr>
        <w:t>万元，</w:t>
      </w:r>
      <w:r>
        <w:rPr>
          <w:rFonts w:hint="eastAsia" w:ascii="仿宋" w:hAnsi="仿宋" w:eastAsia="仿宋"/>
          <w:sz w:val="32"/>
          <w:szCs w:val="32"/>
        </w:rPr>
        <w:t>国内公务接待12批次，128人次，共计支出1.7万元，具体内容包括：省内血站交流学习、考察。</w:t>
      </w: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万元，外事接待0批次，0人，共计支出0万元。</w:t>
      </w:r>
    </w:p>
    <w:p>
      <w:pPr>
        <w:spacing w:line="60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drawing>
          <wp:anchor distT="0" distB="0" distL="114300" distR="114300" simplePos="0" relativeHeight="251665408" behindDoc="0" locked="0" layoutInCell="1" allowOverlap="1">
            <wp:simplePos x="0" y="0"/>
            <wp:positionH relativeFrom="column">
              <wp:posOffset>3810</wp:posOffset>
            </wp:positionH>
            <wp:positionV relativeFrom="paragraph">
              <wp:posOffset>520065</wp:posOffset>
            </wp:positionV>
            <wp:extent cx="5289550" cy="2802255"/>
            <wp:effectExtent l="19050" t="0" r="2540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 w:eastAsia="仿宋_GB2312"/>
          <w:b/>
          <w:color w:val="000000"/>
          <w:sz w:val="28"/>
          <w:szCs w:val="28"/>
        </w:rPr>
        <w:t>图7:“三公”经费财政拨款支出结构</w:t>
      </w:r>
    </w:p>
    <w:p>
      <w:pPr>
        <w:spacing w:line="600" w:lineRule="exact"/>
        <w:ind w:firstLine="640" w:firstLineChars="200"/>
        <w:outlineLvl w:val="1"/>
        <w:rPr>
          <w:rStyle w:val="19"/>
          <w:rFonts w:ascii="黑体" w:hAnsi="黑体" w:eastAsia="黑体"/>
        </w:rPr>
      </w:pPr>
      <w:bookmarkStart w:id="44" w:name="_Toc15377218"/>
      <w:bookmarkStart w:id="45" w:name="_Toc15396610"/>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4"/>
      <w:bookmarkEnd w:id="45"/>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spacing w:line="600" w:lineRule="exact"/>
        <w:ind w:firstLine="640" w:firstLineChars="200"/>
        <w:outlineLvl w:val="1"/>
        <w:rPr>
          <w:rStyle w:val="19"/>
          <w:rFonts w:ascii="黑体" w:hAnsi="黑体" w:eastAsia="黑体"/>
          <w:b w:val="0"/>
        </w:rPr>
      </w:pPr>
      <w:bookmarkStart w:id="46" w:name="_Toc15396611"/>
      <w:bookmarkStart w:id="47" w:name="_Toc15377219"/>
      <w:r>
        <w:rPr>
          <w:rFonts w:hint="eastAsia" w:ascii="黑体" w:eastAsia="黑体"/>
          <w:color w:val="000000"/>
          <w:sz w:val="32"/>
          <w:szCs w:val="32"/>
        </w:rPr>
        <w:t>九、</w:t>
      </w:r>
      <w:r>
        <w:rPr>
          <w:rStyle w:val="19"/>
          <w:rFonts w:hint="eastAsia" w:ascii="黑体" w:hAnsi="黑体" w:eastAsia="黑体"/>
          <w:b w:val="0"/>
        </w:rPr>
        <w:t>国有资本经营预算支出决算情况说明</w:t>
      </w:r>
      <w:bookmarkEnd w:id="46"/>
      <w:bookmarkEnd w:id="47"/>
    </w:p>
    <w:p>
      <w:pPr>
        <w:spacing w:line="600" w:lineRule="exact"/>
        <w:ind w:firstLine="640" w:firstLineChars="20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640" w:firstLineChars="200"/>
        <w:outlineLvl w:val="1"/>
        <w:rPr>
          <w:rStyle w:val="19"/>
          <w:rFonts w:ascii="黑体" w:hAnsi="黑体" w:eastAsia="黑体"/>
        </w:rPr>
      </w:pPr>
      <w:bookmarkStart w:id="48" w:name="_Toc15396612"/>
      <w:bookmarkStart w:id="49" w:name="_Toc15377221"/>
      <w:r>
        <w:rPr>
          <w:rFonts w:hint="eastAsia" w:ascii="黑体" w:hAnsi="黑体" w:eastAsia="黑体"/>
          <w:color w:val="000000"/>
          <w:sz w:val="32"/>
          <w:szCs w:val="32"/>
        </w:rPr>
        <w:t>十</w:t>
      </w:r>
      <w:r>
        <w:rPr>
          <w:rStyle w:val="19"/>
          <w:rFonts w:hint="eastAsia" w:ascii="黑体" w:hAnsi="黑体" w:eastAsia="黑体"/>
        </w:rPr>
        <w:t>、</w:t>
      </w:r>
      <w:r>
        <w:rPr>
          <w:rStyle w:val="19"/>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color w:val="000000"/>
          <w:sz w:val="32"/>
          <w:szCs w:val="32"/>
        </w:rPr>
      </w:pPr>
      <w:bookmarkStart w:id="50" w:name="_Toc15377222"/>
      <w:r>
        <w:rPr>
          <w:rFonts w:hint="eastAsia" w:ascii="仿宋" w:hAnsi="仿宋" w:eastAsia="仿宋"/>
          <w:b/>
          <w:color w:val="000000"/>
          <w:sz w:val="32"/>
          <w:szCs w:val="32"/>
        </w:rPr>
        <w:t>（一）机关运行经费支出情况</w:t>
      </w:r>
      <w:bookmarkEnd w:id="5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年，机关运行经费支出1076.24万元，比</w:t>
      </w:r>
      <w:r>
        <w:rPr>
          <w:rFonts w:ascii="仿宋_GB2312" w:eastAsia="仿宋_GB2312"/>
          <w:color w:val="000000"/>
          <w:sz w:val="32"/>
          <w:szCs w:val="32"/>
        </w:rPr>
        <w:t>2019</w:t>
      </w:r>
      <w:r>
        <w:rPr>
          <w:rFonts w:hint="eastAsia" w:ascii="仿宋_GB2312" w:eastAsia="仿宋_GB2312"/>
          <w:color w:val="000000"/>
          <w:sz w:val="32"/>
          <w:szCs w:val="32"/>
        </w:rPr>
        <w:t>年减少967.55万元，下降47</w:t>
      </w:r>
      <w:r>
        <w:rPr>
          <w:rFonts w:ascii="仿宋_GB2312" w:eastAsia="仿宋_GB2312"/>
          <w:color w:val="000000"/>
          <w:sz w:val="32"/>
          <w:szCs w:val="32"/>
        </w:rPr>
        <w:t>%</w:t>
      </w:r>
      <w:r>
        <w:rPr>
          <w:rFonts w:hint="eastAsia" w:ascii="仿宋_GB2312" w:eastAsia="仿宋_GB2312"/>
          <w:color w:val="000000"/>
          <w:sz w:val="32"/>
          <w:szCs w:val="32"/>
        </w:rPr>
        <w:t>。主要原因是指标669万下达时间晚于结账时间未及时支付欠款。</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1" w:name="_Toc15377223"/>
      <w:r>
        <w:rPr>
          <w:rFonts w:hint="eastAsia" w:ascii="仿宋" w:hAnsi="仿宋" w:eastAsia="仿宋"/>
          <w:b/>
          <w:color w:val="000000"/>
          <w:sz w:val="32"/>
          <w:szCs w:val="32"/>
        </w:rPr>
        <w:t>（二）政府采购支出情况</w:t>
      </w:r>
      <w:bookmarkEnd w:id="51"/>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年，政府采购支出总额0万元，其中：政府采购货物支出0万元、政府采购工程支出0万元、政府采购服务支出0万元。主要用于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2" w:name="_Toc15377224"/>
      <w:r>
        <w:rPr>
          <w:rFonts w:hint="eastAsia" w:ascii="仿宋" w:hAnsi="仿宋" w:eastAsia="仿宋"/>
          <w:b/>
          <w:color w:val="000000"/>
          <w:sz w:val="32"/>
          <w:szCs w:val="32"/>
        </w:rPr>
        <w:t>（三）国有资产占有使用情况</w:t>
      </w:r>
      <w:bookmarkEnd w:id="5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日，共有车辆10辆，其中：主要领导干部用车0辆、机要通信用车0辆、应急保障用车0辆、其他用车5辆、</w:t>
      </w:r>
      <w:r>
        <w:rPr>
          <w:rFonts w:hint="eastAsia" w:ascii="仿宋" w:hAnsi="仿宋" w:eastAsia="仿宋"/>
          <w:sz w:val="32"/>
          <w:szCs w:val="32"/>
        </w:rPr>
        <w:t>特种专业技术用车4辆、</w:t>
      </w:r>
      <w:r>
        <w:rPr>
          <w:rFonts w:hint="eastAsia" w:ascii="仿宋_GB2312" w:eastAsia="仿宋_GB2312"/>
          <w:color w:val="000000"/>
          <w:sz w:val="32"/>
          <w:szCs w:val="32"/>
        </w:rPr>
        <w:t>其他用车主要是</w:t>
      </w:r>
      <w:r>
        <w:rPr>
          <w:rFonts w:hint="eastAsia" w:ascii="仿宋" w:hAnsi="仿宋" w:eastAsia="仿宋"/>
          <w:sz w:val="32"/>
          <w:szCs w:val="32"/>
        </w:rPr>
        <w:t>采供血专用车辆。</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万元以上通用设备5台（套），单价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 w:hAnsi="仿宋" w:eastAsia="仿宋"/>
          <w:sz w:val="32"/>
          <w:szCs w:val="32"/>
        </w:rPr>
        <w:t>7</w:t>
      </w:r>
      <w:r>
        <w:rPr>
          <w:rFonts w:hint="eastAsia" w:ascii="仿宋_GB2312" w:eastAsia="仿宋_GB2312"/>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党建工作经费、驻村第一书记工作经费、脱贫攻坚工作经费、接待费、会议费、机关物业管理及水、电、气费、网络运行维护费、资料印刷费等项目开展了预算事前绩效评估，对13个项目编制了绩效目标，预算执行过程中，选取5个项目开展绩效监控，年终执行完毕后。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年部门整体支出开展绩效自评，从评价情况来看年度工作开展中整体绩效评价良好，除特殊情况以外均按相关预算绩效目标完成。</w:t>
      </w:r>
    </w:p>
    <w:p>
      <w:pPr>
        <w:spacing w:line="60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年度部门决算中反映“党建工作经费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脱贫攻坚工作经费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“机关物业管理及水、电、气费”“核酸检测试剂费”“采供血专用试剂耗材费”等5个项目绩效目标实际完成情况。</w:t>
      </w:r>
    </w:p>
    <w:p>
      <w:pPr>
        <w:numPr>
          <w:ilvl w:val="0"/>
          <w:numId w:val="1"/>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党建工作经费项目绩效目标完成情况综述。项目全年预算数2.8万元，执行数为2.8万元，完成预算的100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通过开展“缅怀革命先烈、参观红色革命传统教育基地、帮扶结对共建”等实践活动，增强单位党员干部理想信念和党性意识。为党务工作者和党员干部征订党报、党刊等学习资料，让党务干部业务能力和理论水平有较大提高。，发现的主要问题：未发现问题。下一步改进措施：按相关规定严格执行以及合理安排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）脱贫攻坚工作经费项目绩效目标完成情况综述。项目全年预算数1.6万元，执行数为1.6万元，完成预算的100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全面落实巴中市深化“挂包帮”精准扶贫政策，通过对3个村16贫困户开展驻村、结对帮扶工作，确保帮扶村实现“一超七有”和贫困户实现“两不愁、三保障”。发现的主要问题：无。下一步改进措施：按相关规定严格执行以及合理安排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）机关物业管理及水、电、气费项目绩效目标完成情况综述。项目全年预算数2.7万元，非税安排30万元。执行数为32.7万元，完成预算的100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。通过项目实施保持正常办公秩序，防止发生安全责任事故、保持正常的采供血工作。发现的主要问题：无。下一步改进措施：按相关规定严格执行以及合理安排资金。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（4）核酸检测试剂费项目绩效目标完成情况综述。项目全年预算数100万元，执行数为300万元，完成预算的100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全市用血者输血安全。根据《血站技术操作规程》、《国家卫计委、财政部关于做好血液核酸检测工作的通知》（国卫办医发[2015]11号）检测发现血液传染性疾病，缩短窗口期，更精确保障临床用血质量安全和公民健康，发现的主要问题：由于年初预算金额不够年中调整并增加预算。下一步改进措施：次年调整增加预算。</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（5）采供血专用试剂耗材费项目绩效目标完成情况综述。项目全年预算数170万元，执行数为400万元，完成预算的100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临床输血安全性。防止乙肝、丙肝、艾滋等病通过输血引起的传染。保障血液安全，保证人民群众用血安全。发现的主要问题：由于年初预算金额不够年中调整并增加预算。下一步改进措施：次年调整增加预算。</w:t>
      </w:r>
    </w:p>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582"/>
        <w:gridCol w:w="1175"/>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jc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jc w:val="center"/>
              <w:rPr>
                <w:rFonts w:ascii="宋体" w:hAnsi="宋体" w:cs="宋体"/>
                <w:b/>
                <w:bCs/>
                <w:color w:val="000000"/>
                <w:kern w:val="0"/>
                <w:sz w:val="36"/>
                <w:szCs w:val="36"/>
              </w:rPr>
            </w:pPr>
            <w:r>
              <w:rPr>
                <w:rFonts w:ascii="宋体" w:hAnsi="宋体" w:cs="宋体"/>
                <w:b/>
                <w:bCs/>
                <w:color w:val="000000"/>
                <w:kern w:val="0"/>
                <w:sz w:val="36"/>
                <w:szCs w:val="36"/>
              </w:rPr>
              <w:t>(2020</w:t>
            </w:r>
            <w:r>
              <w:rPr>
                <w:rFonts w:hint="eastAsia" w:ascii="宋体" w:hAnsi="宋体" w:cs="宋体"/>
                <w:b/>
                <w:bCs/>
                <w:color w:val="000000"/>
                <w:kern w:val="0"/>
                <w:sz w:val="36"/>
                <w:szCs w:val="36"/>
              </w:rPr>
              <w:t>年度</w:t>
            </w:r>
            <w:r>
              <w:rPr>
                <w:rFonts w:ascii="宋体" w:hAnsi="宋体" w:cs="宋体"/>
                <w:b/>
                <w:bCs/>
                <w:color w:val="000000"/>
                <w:kern w:val="0"/>
                <w:sz w:val="36"/>
                <w:szCs w:val="36"/>
              </w:rPr>
              <w:t>)</w:t>
            </w:r>
          </w:p>
        </w:tc>
      </w:tr>
      <w:tr>
        <w:tblPrEx>
          <w:tblCellMar>
            <w:top w:w="0" w:type="dxa"/>
            <w:left w:w="0" w:type="dxa"/>
            <w:bottom w:w="0" w:type="dxa"/>
            <w:right w:w="0" w:type="dxa"/>
          </w:tblCellMar>
        </w:tblPrEx>
        <w:trPr>
          <w:trHeight w:val="44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党建工作经费</w:t>
            </w:r>
          </w:p>
        </w:tc>
      </w:tr>
      <w:tr>
        <w:tblPrEx>
          <w:tblCellMar>
            <w:top w:w="0" w:type="dxa"/>
            <w:left w:w="0" w:type="dxa"/>
            <w:bottom w:w="0" w:type="dxa"/>
            <w:right w:w="0" w:type="dxa"/>
          </w:tblCellMar>
        </w:tblPrEx>
        <w:trPr>
          <w:trHeight w:val="448"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巴中市中心血站</w:t>
            </w:r>
          </w:p>
        </w:tc>
      </w:tr>
      <w:tr>
        <w:tblPrEx>
          <w:tblCellMar>
            <w:top w:w="0" w:type="dxa"/>
            <w:left w:w="0" w:type="dxa"/>
            <w:bottom w:w="0" w:type="dxa"/>
            <w:right w:w="0" w:type="dxa"/>
          </w:tblCellMar>
        </w:tblPrEx>
        <w:trPr>
          <w:trHeight w:val="503"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w:t>
            </w:r>
          </w:p>
        </w:tc>
      </w:tr>
      <w:tr>
        <w:tblPrEx>
          <w:tblCellMar>
            <w:top w:w="0" w:type="dxa"/>
            <w:left w:w="0" w:type="dxa"/>
            <w:bottom w:w="0" w:type="dxa"/>
            <w:right w:w="0" w:type="dxa"/>
          </w:tblCellMar>
        </w:tblPrEx>
        <w:trPr>
          <w:trHeight w:val="503"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w:t>
            </w:r>
          </w:p>
        </w:tc>
      </w:tr>
      <w:tr>
        <w:tblPrEx>
          <w:tblCellMar>
            <w:top w:w="0" w:type="dxa"/>
            <w:left w:w="0" w:type="dxa"/>
            <w:bottom w:w="0" w:type="dxa"/>
            <w:right w:w="0" w:type="dxa"/>
          </w:tblCellMar>
        </w:tblPrEx>
        <w:trPr>
          <w:trHeight w:val="504"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429" w:hRule="atLeast"/>
          <w:jc w:val="center"/>
        </w:trPr>
        <w:tc>
          <w:tcPr>
            <w:tcW w:w="5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5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5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1.通过开展“缅怀革命先烈、参观红色革命传统教育基地、帮扶结对共建”等实践活动，增强单位党员干部理想信念和党性意识。　</w:t>
            </w:r>
          </w:p>
          <w:p>
            <w:pPr>
              <w:widowControl/>
              <w:jc w:val="left"/>
              <w:textAlignment w:val="center"/>
              <w:rPr>
                <w:rFonts w:ascii="宋体" w:cs="宋体"/>
                <w:color w:val="000000"/>
                <w:sz w:val="24"/>
              </w:rPr>
            </w:pPr>
            <w:r>
              <w:rPr>
                <w:rFonts w:hint="eastAsia" w:ascii="宋体" w:cs="宋体"/>
                <w:color w:val="000000"/>
                <w:sz w:val="24"/>
              </w:rPr>
              <w:t>2.为党务工作者和党员干部征订党报、党刊等学习资料，让党务干部业务能力和理论水平有较大提高。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1.通过开展“缅怀革命先烈、参观红色革命传统教育基地、帮扶结对共建”等实践活动，增强单位党员干部理想信念和党性意识。</w:t>
            </w:r>
          </w:p>
          <w:p>
            <w:pPr>
              <w:widowControl/>
              <w:jc w:val="left"/>
              <w:textAlignment w:val="center"/>
              <w:rPr>
                <w:rFonts w:ascii="宋体" w:cs="宋体"/>
                <w:color w:val="000000"/>
                <w:sz w:val="24"/>
              </w:rPr>
            </w:pPr>
            <w:r>
              <w:rPr>
                <w:rFonts w:hint="eastAsia" w:ascii="宋体" w:cs="宋体"/>
                <w:color w:val="000000"/>
                <w:sz w:val="24"/>
              </w:rPr>
              <w:t>2.为党务工作者和党员干部征订党报、党刊等学习资料，让党务干部业务能力和理论水平有较大提高。</w:t>
            </w:r>
          </w:p>
        </w:tc>
      </w:tr>
      <w:tr>
        <w:tblPrEx>
          <w:tblCellMar>
            <w:top w:w="0" w:type="dxa"/>
            <w:left w:w="0" w:type="dxa"/>
            <w:bottom w:w="0" w:type="dxa"/>
            <w:right w:w="0" w:type="dxa"/>
          </w:tblCellMar>
        </w:tblPrEx>
        <w:trPr>
          <w:trHeight w:val="631" w:hRule="atLeast"/>
          <w:jc w:val="center"/>
        </w:trPr>
        <w:tc>
          <w:tcPr>
            <w:tcW w:w="58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579"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1.党建实施活动轮次/参加人数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6次/14人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6次/14人</w:t>
            </w:r>
          </w:p>
        </w:tc>
      </w:tr>
      <w:tr>
        <w:tblPrEx>
          <w:tblCellMar>
            <w:top w:w="0" w:type="dxa"/>
            <w:left w:w="0" w:type="dxa"/>
            <w:bottom w:w="0" w:type="dxa"/>
            <w:right w:w="0" w:type="dxa"/>
          </w:tblCellMar>
        </w:tblPrEx>
        <w:trPr>
          <w:trHeight w:val="57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2.订阅党报、党刊类别/份数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4类/10份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4类/10份</w:t>
            </w:r>
          </w:p>
        </w:tc>
      </w:tr>
      <w:tr>
        <w:tblPrEx>
          <w:tblCellMar>
            <w:top w:w="0" w:type="dxa"/>
            <w:left w:w="0" w:type="dxa"/>
            <w:bottom w:w="0" w:type="dxa"/>
            <w:right w:w="0" w:type="dxa"/>
          </w:tblCellMar>
        </w:tblPrEx>
        <w:trPr>
          <w:trHeight w:val="695"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1.党建实施活动内容健康度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突出政治性、有效性、针对性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突出政治性、有效性、针对性</w:t>
            </w:r>
          </w:p>
        </w:tc>
      </w:tr>
      <w:tr>
        <w:tblPrEx>
          <w:tblCellMar>
            <w:top w:w="0" w:type="dxa"/>
            <w:left w:w="0" w:type="dxa"/>
            <w:bottom w:w="0" w:type="dxa"/>
            <w:right w:w="0" w:type="dxa"/>
          </w:tblCellMar>
        </w:tblPrEx>
        <w:trPr>
          <w:trHeight w:val="691"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2.报刊合法性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国家和省、市正规出版党报党刊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国家和省、市正规出版党报党刊</w:t>
            </w:r>
          </w:p>
        </w:tc>
      </w:tr>
      <w:tr>
        <w:tblPrEx>
          <w:tblCellMar>
            <w:top w:w="0" w:type="dxa"/>
            <w:left w:w="0" w:type="dxa"/>
            <w:bottom w:w="0" w:type="dxa"/>
            <w:right w:w="0" w:type="dxa"/>
          </w:tblCellMar>
        </w:tblPrEx>
        <w:trPr>
          <w:trHeight w:val="563"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1.开展党建实践活动频率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rPr>
              <w:t>1.5次/每季度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rPr>
              <w:t>1.5次/每季度</w:t>
            </w:r>
          </w:p>
        </w:tc>
      </w:tr>
      <w:tr>
        <w:tblPrEx>
          <w:tblCellMar>
            <w:top w:w="0" w:type="dxa"/>
            <w:left w:w="0" w:type="dxa"/>
            <w:bottom w:w="0" w:type="dxa"/>
            <w:right w:w="0" w:type="dxa"/>
          </w:tblCellMar>
        </w:tblPrEx>
        <w:trPr>
          <w:trHeight w:val="61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2.完成报刊订时间/分送时点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2018年12月底前/按期分送</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2018年12月底前/按期分送</w:t>
            </w:r>
          </w:p>
        </w:tc>
      </w:tr>
      <w:tr>
        <w:tblPrEx>
          <w:tblCellMar>
            <w:top w:w="0" w:type="dxa"/>
            <w:left w:w="0" w:type="dxa"/>
            <w:bottom w:w="0" w:type="dxa"/>
            <w:right w:w="0" w:type="dxa"/>
          </w:tblCellMar>
        </w:tblPrEx>
        <w:trPr>
          <w:trHeight w:val="598"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党建实施活动经费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2.5万元</w:t>
            </w:r>
          </w:p>
        </w:tc>
      </w:tr>
      <w:tr>
        <w:tblPrEx>
          <w:tblCellMar>
            <w:top w:w="0" w:type="dxa"/>
            <w:left w:w="0" w:type="dxa"/>
            <w:bottom w:w="0" w:type="dxa"/>
            <w:right w:w="0" w:type="dxa"/>
          </w:tblCellMar>
        </w:tblPrEx>
        <w:trPr>
          <w:trHeight w:val="587"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报刊征订经费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0.3万元</w:t>
            </w:r>
          </w:p>
        </w:tc>
      </w:tr>
      <w:tr>
        <w:tblPrEx>
          <w:tblCellMar>
            <w:top w:w="0" w:type="dxa"/>
            <w:left w:w="0" w:type="dxa"/>
            <w:bottom w:w="0" w:type="dxa"/>
            <w:right w:w="0" w:type="dxa"/>
          </w:tblCellMar>
        </w:tblPrEx>
        <w:trPr>
          <w:trHeight w:val="626"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1.党务工作者理论水平提高率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714"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2.党员同志党性提升率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710" w:hRule="atLeast"/>
          <w:jc w:val="center"/>
        </w:trPr>
        <w:tc>
          <w:tcPr>
            <w:tcW w:w="58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1.党员对群众带动力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充分发挥党员先锋模范作用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充分发挥党员先锋模范作用</w:t>
            </w:r>
          </w:p>
        </w:tc>
      </w:tr>
      <w:tr>
        <w:tblPrEx>
          <w:tblCellMar>
            <w:top w:w="0" w:type="dxa"/>
            <w:left w:w="0" w:type="dxa"/>
            <w:bottom w:w="0" w:type="dxa"/>
            <w:right w:w="0" w:type="dxa"/>
          </w:tblCellMar>
        </w:tblPrEx>
        <w:trPr>
          <w:trHeight w:val="811" w:hRule="atLeast"/>
          <w:jc w:val="center"/>
        </w:trPr>
        <w:tc>
          <w:tcPr>
            <w:tcW w:w="58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1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1.受训党员干部满意度2.报刊阅读者满意度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33"/>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Cs/>
                <w:color w:val="000000"/>
                <w:kern w:val="0"/>
                <w:sz w:val="36"/>
                <w:szCs w:val="36"/>
              </w:rPr>
            </w:pPr>
            <w:r>
              <w:rPr>
                <w:rFonts w:hint="eastAsia" w:ascii="宋体" w:hAnsi="宋体" w:cs="宋体"/>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0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脱贫攻坚工作经费</w:t>
            </w:r>
          </w:p>
        </w:tc>
      </w:tr>
      <w:tr>
        <w:tblPrEx>
          <w:tblCellMar>
            <w:top w:w="0" w:type="dxa"/>
            <w:left w:w="0" w:type="dxa"/>
            <w:bottom w:w="0" w:type="dxa"/>
            <w:right w:w="0" w:type="dxa"/>
          </w:tblCellMar>
        </w:tblPrEx>
        <w:trPr>
          <w:trHeight w:val="40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巴中市中心血站</w:t>
            </w:r>
          </w:p>
        </w:tc>
      </w:tr>
      <w:tr>
        <w:tblPrEx>
          <w:tblCellMar>
            <w:top w:w="0" w:type="dxa"/>
            <w:left w:w="0" w:type="dxa"/>
            <w:bottom w:w="0" w:type="dxa"/>
            <w:right w:w="0" w:type="dxa"/>
          </w:tblCellMar>
        </w:tblPrEx>
        <w:trPr>
          <w:trHeight w:val="503"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w:t>
            </w:r>
          </w:p>
        </w:tc>
      </w:tr>
      <w:tr>
        <w:tblPrEx>
          <w:tblCellMar>
            <w:top w:w="0" w:type="dxa"/>
            <w:left w:w="0" w:type="dxa"/>
            <w:bottom w:w="0" w:type="dxa"/>
            <w:right w:w="0" w:type="dxa"/>
          </w:tblCellMar>
        </w:tblPrEx>
        <w:trPr>
          <w:trHeight w:val="503"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w:t>
            </w:r>
          </w:p>
        </w:tc>
      </w:tr>
      <w:tr>
        <w:tblPrEx>
          <w:tblCellMar>
            <w:top w:w="0" w:type="dxa"/>
            <w:left w:w="0" w:type="dxa"/>
            <w:bottom w:w="0" w:type="dxa"/>
            <w:right w:w="0" w:type="dxa"/>
          </w:tblCellMar>
        </w:tblPrEx>
        <w:trPr>
          <w:trHeight w:val="504"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512"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全面落实巴中市深化“挂包帮”精准扶贫政策，通过对3个村16贫困户开展驻村、结对帮扶工作，确保帮扶村实现“一超七有”和贫困户实现“两不愁、三保障”。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全面落实巴中市深化“挂包帮”精准扶贫政策，通过对3个村16贫困户开展驻村、结对帮扶工作，确保帮扶村实现“一超七有”和贫困户实现“两不愁、三保障”。</w:t>
            </w:r>
          </w:p>
        </w:tc>
      </w:tr>
      <w:tr>
        <w:tblPrEx>
          <w:tblCellMar>
            <w:top w:w="0" w:type="dxa"/>
            <w:left w:w="0" w:type="dxa"/>
            <w:bottom w:w="0" w:type="dxa"/>
            <w:right w:w="0" w:type="dxa"/>
          </w:tblCellMar>
        </w:tblPrEx>
        <w:trPr>
          <w:trHeight w:val="692" w:hRule="atLeast"/>
          <w:jc w:val="center"/>
        </w:trPr>
        <w:tc>
          <w:tcPr>
            <w:tcW w:w="7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1.帮扶贫困村贫困户数人数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5户16人/1村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5户16人/1村</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2.帮扶非贫困村贫困户数人数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11户27人/2村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11户27人/2村</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3.帮扶干部人数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16人</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建档立卡贫困户就业率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工作经费保障率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≧75%</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帮扶干部入户帮扶频率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48次/年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48次/年</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贫困户“两不愁、三保障”达标率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干部下乡补助标准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130元/天；交通费40元/人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130元/天；交通费40元/人</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带动贫困户平均实现经济收入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300元/户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300元/户</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带动贫困户发展产业户数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6户/年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6户/年</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按期脱贫户数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6户/年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6户/年</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化解社会矛盾数量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2起/年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2起/年</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贫困户提升增收入能力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≥70%</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1、帮扶对象满意度</w:t>
            </w:r>
          </w:p>
          <w:p>
            <w:pPr>
              <w:widowControl/>
              <w:textAlignment w:val="center"/>
              <w:rPr>
                <w:rFonts w:ascii="宋体" w:cs="宋体"/>
                <w:color w:val="000000"/>
                <w:sz w:val="24"/>
              </w:rPr>
            </w:pPr>
            <w:r>
              <w:rPr>
                <w:rFonts w:hint="eastAsia" w:ascii="宋体" w:cs="宋体"/>
                <w:color w:val="000000"/>
                <w:sz w:val="24"/>
              </w:rPr>
              <w:t>2、帮扶村村委满意度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≥99%</w:t>
            </w:r>
          </w:p>
        </w:tc>
      </w:tr>
    </w:tbl>
    <w:p>
      <w:pPr>
        <w:spacing w:line="580" w:lineRule="exact"/>
        <w:ind w:left="63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33"/>
        <w:gridCol w:w="1025"/>
        <w:gridCol w:w="2392"/>
        <w:gridCol w:w="2394"/>
        <w:gridCol w:w="2392"/>
      </w:tblGrid>
      <w:tr>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85"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机关物业管理及水、电、气费</w:t>
            </w:r>
          </w:p>
        </w:tc>
      </w:tr>
      <w:tr>
        <w:tblPrEx>
          <w:tblCellMar>
            <w:top w:w="0" w:type="dxa"/>
            <w:left w:w="0" w:type="dxa"/>
            <w:bottom w:w="0" w:type="dxa"/>
            <w:right w:w="0" w:type="dxa"/>
          </w:tblCellMar>
        </w:tblPrEx>
        <w:trPr>
          <w:trHeight w:val="485"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巴中市中心血站</w:t>
            </w:r>
          </w:p>
        </w:tc>
      </w:tr>
      <w:tr>
        <w:tblPrEx>
          <w:tblCellMar>
            <w:top w:w="0" w:type="dxa"/>
            <w:left w:w="0" w:type="dxa"/>
            <w:bottom w:w="0" w:type="dxa"/>
            <w:right w:w="0" w:type="dxa"/>
          </w:tblCellMar>
        </w:tblPrEx>
        <w:trPr>
          <w:trHeight w:val="503"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32.7</w:t>
            </w:r>
          </w:p>
        </w:tc>
      </w:tr>
      <w:tr>
        <w:tblPrEx>
          <w:tblCellMar>
            <w:top w:w="0" w:type="dxa"/>
            <w:left w:w="0" w:type="dxa"/>
            <w:bottom w:w="0" w:type="dxa"/>
            <w:right w:w="0" w:type="dxa"/>
          </w:tblCellMar>
        </w:tblPrEx>
        <w:trPr>
          <w:trHeight w:val="503"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2.7</w:t>
            </w:r>
          </w:p>
        </w:tc>
      </w:tr>
      <w:tr>
        <w:tblPrEx>
          <w:tblCellMar>
            <w:top w:w="0" w:type="dxa"/>
            <w:left w:w="0" w:type="dxa"/>
            <w:bottom w:w="0" w:type="dxa"/>
            <w:right w:w="0" w:type="dxa"/>
          </w:tblCellMar>
        </w:tblPrEx>
        <w:trPr>
          <w:trHeight w:val="578"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30</w:t>
            </w:r>
          </w:p>
        </w:tc>
      </w:tr>
      <w:tr>
        <w:tblPrEx>
          <w:tblCellMar>
            <w:top w:w="0" w:type="dxa"/>
            <w:left w:w="0" w:type="dxa"/>
            <w:bottom w:w="0" w:type="dxa"/>
            <w:right w:w="0" w:type="dxa"/>
          </w:tblCellMar>
        </w:tblPrEx>
        <w:trPr>
          <w:trHeight w:val="532"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1.保持正常办公秩序，防止发生安全责任事故。2.保持正常的采供血工作。　</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1.保持正常办公秩序，防止发生安全责任事故。2.保持正常的采供血工作。　</w:t>
            </w:r>
          </w:p>
        </w:tc>
      </w:tr>
      <w:tr>
        <w:tblPrEx>
          <w:tblCellMar>
            <w:top w:w="0" w:type="dxa"/>
            <w:left w:w="0" w:type="dxa"/>
            <w:bottom w:w="0" w:type="dxa"/>
            <w:right w:w="0" w:type="dxa"/>
          </w:tblCellMar>
        </w:tblPrEx>
        <w:trPr>
          <w:trHeight w:val="1042" w:hRule="atLeast"/>
          <w:jc w:val="center"/>
        </w:trPr>
        <w:tc>
          <w:tcPr>
            <w:tcW w:w="7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573"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1.聘请常年保安人员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4人/年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color w:val="000000"/>
                <w:sz w:val="22"/>
                <w:szCs w:val="22"/>
              </w:rPr>
              <w:t>4人/年</w:t>
            </w:r>
          </w:p>
        </w:tc>
      </w:tr>
      <w:tr>
        <w:tblPrEx>
          <w:tblCellMar>
            <w:top w:w="0" w:type="dxa"/>
            <w:left w:w="0" w:type="dxa"/>
            <w:bottom w:w="0" w:type="dxa"/>
            <w:right w:w="0" w:type="dxa"/>
          </w:tblCellMar>
        </w:tblPrEx>
        <w:trPr>
          <w:trHeight w:val="69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2.聘请常年保洁人员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2人/年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2人/年</w:t>
            </w:r>
          </w:p>
        </w:tc>
      </w:tr>
      <w:tr>
        <w:tblPrEx>
          <w:tblCellMar>
            <w:top w:w="0" w:type="dxa"/>
            <w:left w:w="0" w:type="dxa"/>
            <w:bottom w:w="0" w:type="dxa"/>
            <w:right w:w="0" w:type="dxa"/>
          </w:tblCellMar>
        </w:tblPrEx>
        <w:trPr>
          <w:trHeight w:val="574"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color w:val="000000"/>
                <w:sz w:val="22"/>
                <w:szCs w:val="22"/>
              </w:rPr>
              <w:t>3.环境整治面积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4000平方米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4000平方米</w:t>
            </w:r>
          </w:p>
        </w:tc>
      </w:tr>
      <w:tr>
        <w:tblPrEx>
          <w:tblCellMar>
            <w:top w:w="0" w:type="dxa"/>
            <w:left w:w="0" w:type="dxa"/>
            <w:bottom w:w="0" w:type="dxa"/>
            <w:right w:w="0" w:type="dxa"/>
          </w:tblCellMar>
        </w:tblPrEx>
        <w:trPr>
          <w:trHeight w:val="87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1.与第三方机构签订用工合同率</w:t>
            </w:r>
          </w:p>
          <w:p>
            <w:pPr>
              <w:rPr>
                <w:rFonts w:ascii="宋体" w:hAnsi="宋体" w:cs="宋体"/>
                <w:color w:val="000000"/>
                <w:sz w:val="22"/>
                <w:szCs w:val="22"/>
              </w:rPr>
            </w:pPr>
            <w:r>
              <w:rPr>
                <w:rFonts w:hint="eastAsia" w:ascii="宋体" w:hAnsi="宋体" w:cs="宋体"/>
                <w:color w:val="000000"/>
                <w:sz w:val="22"/>
                <w:szCs w:val="22"/>
              </w:rPr>
              <w:t>2.环境整治履行合同率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cs="宋体"/>
                <w:color w:val="000000"/>
                <w:sz w:val="24"/>
              </w:rPr>
              <w:t>≥</w:t>
            </w:r>
            <w:r>
              <w:rPr>
                <w:rFonts w:hint="eastAsia"/>
                <w:color w:val="000000"/>
                <w:sz w:val="22"/>
                <w:szCs w:val="22"/>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r>
              <w:rPr>
                <w:rFonts w:hint="eastAsia" w:ascii="宋体" w:cs="宋体"/>
                <w:color w:val="000000"/>
                <w:sz w:val="24"/>
              </w:rPr>
              <w:t>≥</w:t>
            </w:r>
            <w:r>
              <w:rPr>
                <w:rFonts w:hint="eastAsia"/>
                <w:color w:val="000000"/>
                <w:sz w:val="22"/>
                <w:szCs w:val="22"/>
              </w:rPr>
              <w:t>99%</w:t>
            </w:r>
          </w:p>
        </w:tc>
      </w:tr>
      <w:tr>
        <w:tblPrEx>
          <w:tblCellMar>
            <w:top w:w="0" w:type="dxa"/>
            <w:left w:w="0" w:type="dxa"/>
            <w:bottom w:w="0" w:type="dxa"/>
            <w:right w:w="0" w:type="dxa"/>
          </w:tblCellMar>
        </w:tblPrEx>
        <w:trPr>
          <w:trHeight w:val="677"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安全责任事故降低率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95%</w:t>
            </w:r>
          </w:p>
        </w:tc>
      </w:tr>
      <w:tr>
        <w:tblPrEx>
          <w:tblCellMar>
            <w:top w:w="0" w:type="dxa"/>
            <w:left w:w="0" w:type="dxa"/>
            <w:bottom w:w="0" w:type="dxa"/>
            <w:right w:w="0" w:type="dxa"/>
          </w:tblCellMar>
        </w:tblPrEx>
        <w:trPr>
          <w:trHeight w:val="624"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环境卫生整洁度提升比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r>
      <w:tr>
        <w:tblPrEx>
          <w:tblCellMar>
            <w:top w:w="0" w:type="dxa"/>
            <w:left w:w="0" w:type="dxa"/>
            <w:bottom w:w="0" w:type="dxa"/>
            <w:right w:w="0" w:type="dxa"/>
          </w:tblCellMar>
        </w:tblPrEx>
        <w:trPr>
          <w:trHeight w:val="600"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第三方机构履约率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≥98%</w:t>
            </w:r>
          </w:p>
        </w:tc>
      </w:tr>
      <w:tr>
        <w:tblPrEx>
          <w:tblCellMar>
            <w:top w:w="0" w:type="dxa"/>
            <w:left w:w="0" w:type="dxa"/>
            <w:bottom w:w="0" w:type="dxa"/>
            <w:right w:w="0" w:type="dxa"/>
          </w:tblCellMar>
        </w:tblPrEx>
        <w:trPr>
          <w:trHeight w:val="721"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保安人员合同工资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3.6万元/人.年 3.6万元/人.年*6人=21.6万元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3.6万元/人.年 3.6万元/人.年*6人=21.6万元</w:t>
            </w:r>
          </w:p>
        </w:tc>
      </w:tr>
      <w:tr>
        <w:tblPrEx>
          <w:tblCellMar>
            <w:top w:w="0" w:type="dxa"/>
            <w:left w:w="0" w:type="dxa"/>
            <w:bottom w:w="0" w:type="dxa"/>
            <w:right w:w="0" w:type="dxa"/>
          </w:tblCellMar>
        </w:tblPrEx>
        <w:trPr>
          <w:trHeight w:val="707"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保洁人员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3.6万元/人.年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3.6万元/人.年</w:t>
            </w:r>
          </w:p>
        </w:tc>
      </w:tr>
      <w:tr>
        <w:tblPrEx>
          <w:tblCellMar>
            <w:top w:w="0" w:type="dxa"/>
            <w:left w:w="0" w:type="dxa"/>
            <w:bottom w:w="0" w:type="dxa"/>
            <w:right w:w="0" w:type="dxa"/>
          </w:tblCellMar>
        </w:tblPrEx>
        <w:trPr>
          <w:trHeight w:val="707"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环境整治成本/水、电、气费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3万元,32.4万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3万元,32.4万</w:t>
            </w:r>
          </w:p>
        </w:tc>
      </w:tr>
      <w:tr>
        <w:tblPrEx>
          <w:tblCellMar>
            <w:top w:w="0" w:type="dxa"/>
            <w:left w:w="0" w:type="dxa"/>
            <w:bottom w:w="0" w:type="dxa"/>
            <w:right w:w="0" w:type="dxa"/>
          </w:tblCellMar>
        </w:tblPrEx>
        <w:trPr>
          <w:trHeight w:val="602"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讲文明讲卫生习惯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较大提升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较大提升</w:t>
            </w:r>
          </w:p>
        </w:tc>
      </w:tr>
      <w:tr>
        <w:tblPrEx>
          <w:tblCellMar>
            <w:top w:w="0" w:type="dxa"/>
            <w:left w:w="0" w:type="dxa"/>
            <w:bottom w:w="0" w:type="dxa"/>
            <w:right w:w="0" w:type="dxa"/>
          </w:tblCellMar>
        </w:tblPrEx>
        <w:trPr>
          <w:trHeight w:val="664"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安全风险降低率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r>
      <w:tr>
        <w:tblPrEx>
          <w:tblCellMar>
            <w:top w:w="0" w:type="dxa"/>
            <w:left w:w="0" w:type="dxa"/>
            <w:bottom w:w="0" w:type="dxa"/>
            <w:right w:w="0" w:type="dxa"/>
          </w:tblCellMar>
        </w:tblPrEx>
        <w:trPr>
          <w:trHeight w:val="747"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办公秩序和环境改善持续性</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655"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干部职工满意度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520" w:hRule="atLeast"/>
          <w:jc w:val="center"/>
        </w:trPr>
        <w:tc>
          <w:tcPr>
            <w:tcW w:w="724"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r>
    </w:tbl>
    <w:p>
      <w:pPr>
        <w:spacing w:line="580" w:lineRule="exact"/>
        <w:ind w:left="63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33"/>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435"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核酸检测试剂费</w:t>
            </w:r>
          </w:p>
        </w:tc>
      </w:tr>
      <w:tr>
        <w:tblPrEx>
          <w:tblCellMar>
            <w:top w:w="0" w:type="dxa"/>
            <w:left w:w="0" w:type="dxa"/>
            <w:bottom w:w="0" w:type="dxa"/>
            <w:right w:w="0" w:type="dxa"/>
          </w:tblCellMar>
        </w:tblPrEx>
        <w:trPr>
          <w:trHeight w:val="435"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巴中市中心血站</w:t>
            </w:r>
          </w:p>
        </w:tc>
      </w:tr>
      <w:tr>
        <w:tblPrEx>
          <w:tblCellMar>
            <w:top w:w="0" w:type="dxa"/>
            <w:left w:w="0" w:type="dxa"/>
            <w:bottom w:w="0" w:type="dxa"/>
            <w:right w:w="0" w:type="dxa"/>
          </w:tblCellMar>
        </w:tblPrEx>
        <w:trPr>
          <w:trHeight w:val="503"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w:t>
            </w:r>
          </w:p>
        </w:tc>
      </w:tr>
      <w:tr>
        <w:tblPrEx>
          <w:tblCellMar>
            <w:top w:w="0" w:type="dxa"/>
            <w:left w:w="0" w:type="dxa"/>
            <w:bottom w:w="0" w:type="dxa"/>
            <w:right w:w="0" w:type="dxa"/>
          </w:tblCellMar>
        </w:tblPrEx>
        <w:trPr>
          <w:trHeight w:val="503"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300</w:t>
            </w:r>
          </w:p>
        </w:tc>
      </w:tr>
      <w:tr>
        <w:tblPrEx>
          <w:tblCellMar>
            <w:top w:w="0" w:type="dxa"/>
            <w:left w:w="0" w:type="dxa"/>
            <w:bottom w:w="0" w:type="dxa"/>
            <w:right w:w="0" w:type="dxa"/>
          </w:tblCellMar>
        </w:tblPrEx>
        <w:trPr>
          <w:trHeight w:val="504"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05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646"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《血站技术操作规程》、《国家卫计委、财政部关于做好血液核酸检测工作的通知》（国卫办医发[2015]11号）检测发现血液传染性疾病，缩短窗口期，更精确保障临床用血质量安全和公民健康</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《血站技术操作规程》、《国家卫计委、财政部关于做好血液核酸检测工作的通知》（国卫办医发[2015]11号）检测发现血液传染性疾病，缩短窗口期，更精确保障临床用血质量安全和公民健康</w:t>
            </w:r>
          </w:p>
        </w:tc>
      </w:tr>
      <w:tr>
        <w:tblPrEx>
          <w:tblCellMar>
            <w:top w:w="0" w:type="dxa"/>
            <w:left w:w="0" w:type="dxa"/>
            <w:bottom w:w="0" w:type="dxa"/>
            <w:right w:w="0" w:type="dxa"/>
          </w:tblCellMar>
        </w:tblPrEx>
        <w:trPr>
          <w:trHeight w:val="936" w:hRule="atLeast"/>
          <w:jc w:val="center"/>
        </w:trPr>
        <w:tc>
          <w:tcPr>
            <w:tcW w:w="7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691"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采血试剂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试剂使用量≤30000人份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试剂使用量≤30000人份</w:t>
            </w:r>
          </w:p>
        </w:tc>
      </w:tr>
      <w:tr>
        <w:tblPrEx>
          <w:tblCellMar>
            <w:top w:w="0" w:type="dxa"/>
            <w:left w:w="0" w:type="dxa"/>
            <w:bottom w:w="0" w:type="dxa"/>
            <w:right w:w="0" w:type="dxa"/>
          </w:tblCellMar>
        </w:tblPrEx>
        <w:trPr>
          <w:trHeight w:val="936"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提供临床医疗急救用血，防止输血传染病。血液合格率为99.9%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提供临床医疗急救用血，防止输血传染病。血液合格率为99.9%</w:t>
            </w:r>
          </w:p>
        </w:tc>
      </w:tr>
      <w:tr>
        <w:tblPrEx>
          <w:tblCellMar>
            <w:top w:w="0" w:type="dxa"/>
            <w:left w:w="0" w:type="dxa"/>
            <w:bottom w:w="0" w:type="dxa"/>
            <w:right w:w="0" w:type="dxa"/>
          </w:tblCellMar>
        </w:tblPrEx>
        <w:trPr>
          <w:trHeight w:val="691"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疾病防治率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防止乙肝、丙肝、艾滋等病毒传播率＜1%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防止乙肝、丙肝、艾滋等病毒传播率＜1%</w:t>
            </w:r>
          </w:p>
        </w:tc>
      </w:tr>
      <w:tr>
        <w:tblPrEx>
          <w:tblCellMar>
            <w:top w:w="0" w:type="dxa"/>
            <w:left w:w="0" w:type="dxa"/>
            <w:bottom w:w="0" w:type="dxa"/>
            <w:right w:w="0" w:type="dxa"/>
          </w:tblCellMar>
        </w:tblPrEx>
        <w:trPr>
          <w:trHeight w:val="646"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标本检测时限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＜5天</w:t>
            </w:r>
          </w:p>
        </w:tc>
      </w:tr>
      <w:tr>
        <w:tblPrEx>
          <w:tblCellMar>
            <w:top w:w="0" w:type="dxa"/>
            <w:left w:w="0" w:type="dxa"/>
            <w:bottom w:w="0" w:type="dxa"/>
            <w:right w:w="0" w:type="dxa"/>
          </w:tblCellMar>
        </w:tblPrEx>
        <w:trPr>
          <w:trHeight w:val="646"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增加临床输血安全率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输血安全率≥99%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输血安全率≥99%</w:t>
            </w:r>
          </w:p>
        </w:tc>
      </w:tr>
      <w:tr>
        <w:tblPrEx>
          <w:tblCellMar>
            <w:top w:w="0" w:type="dxa"/>
            <w:left w:w="0" w:type="dxa"/>
            <w:bottom w:w="0" w:type="dxa"/>
            <w:right w:w="0" w:type="dxa"/>
          </w:tblCellMar>
        </w:tblPrEx>
        <w:trPr>
          <w:trHeight w:val="631"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社会稳定率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增加社会稳定率≥0.5%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增加社会稳定率≥0.5%</w:t>
            </w:r>
          </w:p>
        </w:tc>
      </w:tr>
      <w:tr>
        <w:tblPrEx>
          <w:tblCellMar>
            <w:top w:w="0" w:type="dxa"/>
            <w:left w:w="0" w:type="dxa"/>
            <w:bottom w:w="0" w:type="dxa"/>
            <w:right w:w="0" w:type="dxa"/>
          </w:tblCellMar>
        </w:tblPrEx>
        <w:trPr>
          <w:trHeight w:val="571"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保障采供血未来事业发展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w:t>
            </w:r>
          </w:p>
        </w:tc>
      </w:tr>
      <w:tr>
        <w:tblPrEx>
          <w:tblCellMar>
            <w:top w:w="0" w:type="dxa"/>
            <w:left w:w="0" w:type="dxa"/>
            <w:bottom w:w="0" w:type="dxa"/>
            <w:right w:w="0" w:type="dxa"/>
          </w:tblCellMar>
        </w:tblPrEx>
        <w:trPr>
          <w:trHeight w:val="691"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献血者满意度≥96%</w:t>
            </w:r>
          </w:p>
        </w:tc>
      </w:tr>
      <w:tr>
        <w:tblPrEx>
          <w:tblCellMar>
            <w:top w:w="0" w:type="dxa"/>
            <w:left w:w="0" w:type="dxa"/>
            <w:bottom w:w="0" w:type="dxa"/>
            <w:right w:w="0" w:type="dxa"/>
          </w:tblCellMar>
        </w:tblPrEx>
        <w:trPr>
          <w:trHeight w:val="691" w:hRule="atLeast"/>
          <w:jc w:val="center"/>
        </w:trPr>
        <w:tc>
          <w:tcPr>
            <w:tcW w:w="724" w:type="dxa"/>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w:t>
            </w:r>
          </w:p>
        </w:tc>
        <w:tc>
          <w:tcPr>
            <w:tcW w:w="239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c>
          <w:tcPr>
            <w:tcW w:w="23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r>
    </w:tbl>
    <w:p>
      <w:pPr>
        <w:spacing w:line="580" w:lineRule="exact"/>
        <w:ind w:left="630"/>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24"/>
        <w:gridCol w:w="1033"/>
        <w:gridCol w:w="1235"/>
        <w:gridCol w:w="142"/>
        <w:gridCol w:w="2040"/>
        <w:gridCol w:w="2394"/>
        <w:gridCol w:w="2392"/>
      </w:tblGrid>
      <w:tr>
        <w:tblPrEx>
          <w:tblCellMar>
            <w:top w:w="0" w:type="dxa"/>
            <w:left w:w="0" w:type="dxa"/>
            <w:bottom w:w="0" w:type="dxa"/>
            <w:right w:w="0" w:type="dxa"/>
          </w:tblCellMar>
        </w:tblPrEx>
        <w:trPr>
          <w:trHeight w:val="1034" w:hRule="atLeast"/>
          <w:jc w:val="center"/>
        </w:trPr>
        <w:tc>
          <w:tcPr>
            <w:tcW w:w="996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550" w:hRule="atLeast"/>
          <w:jc w:val="center"/>
        </w:trPr>
        <w:tc>
          <w:tcPr>
            <w:tcW w:w="29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69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采供血专用试剂耗材费</w:t>
            </w:r>
          </w:p>
        </w:tc>
      </w:tr>
      <w:tr>
        <w:tblPrEx>
          <w:tblCellMar>
            <w:top w:w="0" w:type="dxa"/>
            <w:left w:w="0" w:type="dxa"/>
            <w:bottom w:w="0" w:type="dxa"/>
            <w:right w:w="0" w:type="dxa"/>
          </w:tblCellMar>
        </w:tblPrEx>
        <w:trPr>
          <w:trHeight w:val="550" w:hRule="atLeast"/>
          <w:jc w:val="center"/>
        </w:trPr>
        <w:tc>
          <w:tcPr>
            <w:tcW w:w="299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69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巴中市中心血站</w:t>
            </w:r>
          </w:p>
        </w:tc>
      </w:tr>
      <w:tr>
        <w:tblPrEx>
          <w:tblCellMar>
            <w:top w:w="0" w:type="dxa"/>
            <w:left w:w="0" w:type="dxa"/>
            <w:bottom w:w="0" w:type="dxa"/>
            <w:right w:w="0" w:type="dxa"/>
          </w:tblCellMar>
        </w:tblPrEx>
        <w:trPr>
          <w:trHeight w:val="533"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2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1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510</w:t>
            </w:r>
          </w:p>
        </w:tc>
      </w:tr>
      <w:tr>
        <w:tblPrEx>
          <w:tblCellMar>
            <w:top w:w="0" w:type="dxa"/>
            <w:left w:w="0" w:type="dxa"/>
            <w:bottom w:w="0" w:type="dxa"/>
            <w:right w:w="0" w:type="dxa"/>
          </w:tblCellMar>
        </w:tblPrEx>
        <w:trPr>
          <w:trHeight w:val="533"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1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533"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26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18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510</w:t>
            </w:r>
          </w:p>
        </w:tc>
      </w:tr>
      <w:tr>
        <w:tblPrEx>
          <w:tblCellMar>
            <w:top w:w="0" w:type="dxa"/>
            <w:left w:w="0" w:type="dxa"/>
            <w:bottom w:w="0" w:type="dxa"/>
            <w:right w:w="0" w:type="dxa"/>
          </w:tblCellMar>
        </w:tblPrEx>
        <w:trPr>
          <w:trHeight w:val="422" w:hRule="atLeast"/>
          <w:jc w:val="center"/>
        </w:trPr>
        <w:tc>
          <w:tcPr>
            <w:tcW w:w="7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654" w:hRule="atLeast"/>
          <w:jc w:val="center"/>
        </w:trPr>
        <w:tc>
          <w:tcPr>
            <w:tcW w:w="7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4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保障血液安全，保证人民群众用血安全。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保障血液安全，保证人民群众用血安全。</w:t>
            </w:r>
          </w:p>
        </w:tc>
      </w:tr>
      <w:tr>
        <w:tblPrEx>
          <w:tblCellMar>
            <w:top w:w="0" w:type="dxa"/>
            <w:left w:w="0" w:type="dxa"/>
            <w:bottom w:w="0" w:type="dxa"/>
            <w:right w:w="0" w:type="dxa"/>
          </w:tblCellMar>
        </w:tblPrEx>
        <w:trPr>
          <w:trHeight w:val="727" w:hRule="atLeast"/>
          <w:jc w:val="center"/>
        </w:trPr>
        <w:tc>
          <w:tcPr>
            <w:tcW w:w="72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618"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采血试剂</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试剂使用量≤32000人份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试剂使用量≤32000人份</w:t>
            </w:r>
          </w:p>
        </w:tc>
      </w:tr>
      <w:tr>
        <w:tblPrEx>
          <w:tblCellMar>
            <w:top w:w="0" w:type="dxa"/>
            <w:left w:w="0" w:type="dxa"/>
            <w:bottom w:w="0" w:type="dxa"/>
            <w:right w:w="0" w:type="dxa"/>
          </w:tblCellMar>
        </w:tblPrEx>
        <w:trPr>
          <w:trHeight w:val="530"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采血耗材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耗材使用量≤30000人份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耗材使用量≤30000人份</w:t>
            </w:r>
          </w:p>
        </w:tc>
      </w:tr>
      <w:tr>
        <w:tblPrEx>
          <w:tblCellMar>
            <w:top w:w="0" w:type="dxa"/>
            <w:left w:w="0" w:type="dxa"/>
            <w:bottom w:w="0" w:type="dxa"/>
            <w:right w:w="0" w:type="dxa"/>
          </w:tblCellMar>
        </w:tblPrEx>
        <w:trPr>
          <w:trHeight w:val="758"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提供临床医疗急救用血，血液合格率为100%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提供临床医疗急救用血，血液合格率为100%</w:t>
            </w:r>
          </w:p>
        </w:tc>
      </w:tr>
      <w:tr>
        <w:tblPrEx>
          <w:tblCellMar>
            <w:top w:w="0" w:type="dxa"/>
            <w:left w:w="0" w:type="dxa"/>
            <w:bottom w:w="0" w:type="dxa"/>
            <w:right w:w="0" w:type="dxa"/>
          </w:tblCellMar>
        </w:tblPrEx>
        <w:trPr>
          <w:trHeight w:val="733"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疾病防治率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防止乙肝、丙肝、艾滋等病毒传播率＜1%</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防止乙肝、丙肝、艾滋等病毒传播率＜1%</w:t>
            </w:r>
          </w:p>
        </w:tc>
      </w:tr>
      <w:tr>
        <w:tblPrEx>
          <w:tblCellMar>
            <w:top w:w="0" w:type="dxa"/>
            <w:left w:w="0" w:type="dxa"/>
            <w:bottom w:w="0" w:type="dxa"/>
            <w:right w:w="0" w:type="dxa"/>
          </w:tblCellMar>
        </w:tblPrEx>
        <w:trPr>
          <w:trHeight w:val="544"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标本检测时限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＜5天</w:t>
            </w:r>
          </w:p>
        </w:tc>
      </w:tr>
      <w:tr>
        <w:tblPrEx>
          <w:tblCellMar>
            <w:top w:w="0" w:type="dxa"/>
            <w:left w:w="0" w:type="dxa"/>
            <w:bottom w:w="0" w:type="dxa"/>
            <w:right w:w="0" w:type="dxa"/>
          </w:tblCellMar>
        </w:tblPrEx>
        <w:trPr>
          <w:trHeight w:val="633"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增加临床输血安全率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输血安全率≥99%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输血安全率≥99%</w:t>
            </w:r>
          </w:p>
        </w:tc>
      </w:tr>
      <w:tr>
        <w:tblPrEx>
          <w:tblCellMar>
            <w:top w:w="0" w:type="dxa"/>
            <w:left w:w="0" w:type="dxa"/>
            <w:bottom w:w="0" w:type="dxa"/>
            <w:right w:w="0" w:type="dxa"/>
          </w:tblCellMar>
        </w:tblPrEx>
        <w:trPr>
          <w:trHeight w:val="589"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社会稳定率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增加社会稳定率≥0.5%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增加社会稳定率≥0.5%</w:t>
            </w:r>
          </w:p>
        </w:tc>
      </w:tr>
      <w:tr>
        <w:tblPrEx>
          <w:tblCellMar>
            <w:top w:w="0" w:type="dxa"/>
            <w:left w:w="0" w:type="dxa"/>
            <w:bottom w:w="0" w:type="dxa"/>
            <w:right w:w="0" w:type="dxa"/>
          </w:tblCellMar>
        </w:tblPrEx>
        <w:trPr>
          <w:trHeight w:val="618"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保障采供血事业发展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613" w:hRule="atLeast"/>
          <w:jc w:val="center"/>
        </w:trPr>
        <w:tc>
          <w:tcPr>
            <w:tcW w:w="724"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用血者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用血者满意度≥95%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用血者满意度≥95%</w:t>
            </w:r>
          </w:p>
        </w:tc>
      </w:tr>
      <w:tr>
        <w:tblPrEx>
          <w:tblCellMar>
            <w:top w:w="0" w:type="dxa"/>
            <w:left w:w="0" w:type="dxa"/>
            <w:bottom w:w="0" w:type="dxa"/>
            <w:right w:w="0" w:type="dxa"/>
          </w:tblCellMar>
        </w:tblPrEx>
        <w:trPr>
          <w:trHeight w:val="520" w:hRule="atLeast"/>
          <w:jc w:val="center"/>
        </w:trPr>
        <w:tc>
          <w:tcPr>
            <w:tcW w:w="724"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3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w:t>
            </w:r>
          </w:p>
        </w:tc>
        <w:tc>
          <w:tcPr>
            <w:tcW w:w="20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医疗机构满意度≥95%</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年部门整体支出绩效评价情况开展自评，《巴中市中心血站</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年部门整体支出绩效评价报告》见附件。单位未自行组织其他项目绩效评价。</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idowControl/>
        <w:jc w:val="center"/>
        <w:rPr>
          <w:rFonts w:ascii="宋体"/>
          <w:b/>
          <w:color w:val="000000"/>
          <w:sz w:val="44"/>
          <w:szCs w:val="44"/>
        </w:rPr>
      </w:pPr>
      <w:bookmarkStart w:id="53" w:name="_Toc15377225"/>
      <w:bookmarkStart w:id="54" w:name="_Toc15396613"/>
      <w:r>
        <w:rPr>
          <w:rStyle w:val="18"/>
          <w:rFonts w:hint="eastAsia" w:ascii="黑体" w:hAnsi="黑体" w:eastAsia="黑体"/>
          <w:b w:val="0"/>
        </w:rPr>
        <w:t>第三部分 名词解释</w:t>
      </w:r>
      <w:bookmarkEnd w:id="53"/>
      <w:bookmarkEnd w:id="54"/>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一般公共服务：指提供一般公共服务的支出。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社会保障和就业（类）行政事业单位离退休（款）机关事业单位基本养老保险缴费（项）</w:t>
      </w:r>
      <w:r>
        <w:rPr>
          <w:rFonts w:ascii="仿宋_GB2312" w:eastAsia="仿宋_GB2312"/>
          <w:color w:val="000000"/>
          <w:sz w:val="32"/>
          <w:szCs w:val="32"/>
        </w:rPr>
        <w:t xml:space="preserve">: </w:t>
      </w:r>
      <w:r>
        <w:rPr>
          <w:rFonts w:hint="eastAsia" w:ascii="仿宋_GB2312" w:eastAsia="仿宋_GB2312"/>
          <w:color w:val="000000"/>
          <w:sz w:val="32"/>
          <w:szCs w:val="32"/>
        </w:rPr>
        <w:t>指单位对职工的基本养老保险缴费支出。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11.社会保障和就业（类）行政事业单位离退休（款）其他行政事业单位离退休支出（项）: 指单位对职工的其他行政事业单位离退休方面的支出。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卫生健康（类）公共卫生（款）重大公共卫生专项（项）：指重大疾病预防控制等专项如艾滋病防控。</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 xml:space="preserve"> 卫生健康（类）公共卫生（款）突发公共卫生事件应急处理（项）：指突发公共卫生应急处理专项。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 xml:space="preserve"> 卫生健康（类）行政事业单位医疗（款）事业单位医疗（项）：指单位的基本医疗保险缴费经费、公费医疗经费和按国家规定享受离休人员待遇人员的医疗经费。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住房保障支出（类）住房改革支出（款）住房公积金（项）：指单位对职工的住房公积金缴费支出。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6"/>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18</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19</w:t>
      </w:r>
      <w:r>
        <w:rPr>
          <w:rFonts w:ascii="仿宋_GB2312" w:hAnsi="Times New Roman" w:eastAsia="仿宋_GB2312" w:cs="Times New Roman"/>
          <w:kern w:val="2"/>
          <w:sz w:val="32"/>
          <w:szCs w:val="32"/>
        </w:rPr>
        <w:t>.</w:t>
      </w:r>
      <w:r>
        <w:rPr>
          <w:rFonts w:hint="eastAsia" w:ascii="仿宋_GB2312" w:hAnsi="Times New Roman" w:eastAsia="仿宋_GB2312" w:cs="Times New Roman"/>
          <w:kern w:val="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ascii="方正小标宋简体" w:hAnsi="方正小标宋简体" w:eastAsia="方正小标宋简体" w:cs="方正小标宋简体"/>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bookmarkStart w:id="55" w:name="_Toc15377226"/>
      <w:r>
        <w:rPr>
          <w:rFonts w:ascii="宋体"/>
          <w:b/>
          <w:color w:val="000000"/>
          <w:sz w:val="44"/>
          <w:szCs w:val="44"/>
        </w:rPr>
        <w:br w:type="page"/>
      </w:r>
      <w:bookmarkStart w:id="56" w:name="_Toc15396614"/>
      <w:r>
        <w:rPr>
          <w:rFonts w:hint="eastAsia" w:ascii="黑体" w:hAnsi="黑体" w:eastAsia="黑体"/>
          <w:color w:val="000000"/>
          <w:sz w:val="44"/>
          <w:szCs w:val="44"/>
        </w:rPr>
        <w:t>第</w:t>
      </w:r>
      <w:r>
        <w:rPr>
          <w:rStyle w:val="18"/>
          <w:rFonts w:hint="eastAsia" w:ascii="黑体" w:hAnsi="黑体" w:eastAsia="黑体"/>
          <w:b w:val="0"/>
        </w:rPr>
        <w:t>四部分</w:t>
      </w:r>
      <w:r>
        <w:rPr>
          <w:rStyle w:val="18"/>
          <w:rFonts w:ascii="黑体" w:hAnsi="黑体" w:eastAsia="黑体"/>
          <w:b w:val="0"/>
        </w:rPr>
        <w:t xml:space="preserve"> </w:t>
      </w:r>
      <w:r>
        <w:rPr>
          <w:rStyle w:val="18"/>
          <w:rFonts w:hint="eastAsia" w:ascii="黑体" w:hAnsi="黑体" w:eastAsia="黑体"/>
          <w:b w:val="0"/>
        </w:rPr>
        <w:t>附件</w:t>
      </w:r>
      <w:bookmarkEnd w:id="56"/>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00"/>
        <w:jc w:val="center"/>
        <w:rPr>
          <w:rFonts w:ascii="方正小标宋简体" w:hAnsi="宋体" w:eastAsia="方正小标宋简体"/>
          <w:color w:val="000000"/>
          <w:kern w:val="0"/>
          <w:sz w:val="40"/>
          <w:szCs w:val="44"/>
        </w:rPr>
      </w:pPr>
      <w:r>
        <w:rPr>
          <w:rFonts w:hint="eastAsia" w:ascii="方正小标宋简体" w:hAnsi="宋体" w:eastAsia="方正小标宋简体"/>
          <w:color w:val="000000"/>
          <w:kern w:val="0"/>
          <w:sz w:val="40"/>
          <w:szCs w:val="44"/>
        </w:rPr>
        <w:t>巴中市中心血站</w:t>
      </w:r>
    </w:p>
    <w:p>
      <w:pPr>
        <w:spacing w:line="600" w:lineRule="exact"/>
        <w:ind w:firstLine="800" w:firstLineChars="200"/>
        <w:jc w:val="center"/>
        <w:rPr>
          <w:rFonts w:ascii="黑体" w:hAnsi="宋体" w:eastAsia="黑体" w:cs="宋体"/>
          <w:color w:val="000000"/>
          <w:kern w:val="0"/>
          <w:sz w:val="24"/>
          <w:szCs w:val="32"/>
          <w:shd w:val="clear" w:color="auto" w:fill="FFFFFF"/>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60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60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spacing w:line="600" w:lineRule="exact"/>
        <w:ind w:firstLine="640" w:firstLineChars="200"/>
        <w:rPr>
          <w:rFonts w:ascii="仿宋" w:hAnsi="仿宋" w:eastAsia="仿宋"/>
          <w:color w:val="000000"/>
          <w:sz w:val="32"/>
          <w:szCs w:val="32"/>
        </w:rPr>
      </w:pPr>
      <w:r>
        <w:rPr>
          <w:rFonts w:hint="eastAsia" w:ascii="仿宋" w:hAnsi="仿宋" w:eastAsia="仿宋"/>
          <w:sz w:val="32"/>
          <w:szCs w:val="32"/>
        </w:rPr>
        <w:t>巴中市中心血站</w:t>
      </w:r>
      <w:r>
        <w:rPr>
          <w:rFonts w:hint="eastAsia" w:ascii="仿宋" w:hAnsi="仿宋" w:eastAsia="仿宋" w:cs="方正仿宋_GBK"/>
          <w:sz w:val="32"/>
          <w:szCs w:val="32"/>
        </w:rPr>
        <w:t>是</w:t>
      </w:r>
      <w:r>
        <w:rPr>
          <w:rFonts w:hint="eastAsia" w:ascii="仿宋" w:hAnsi="仿宋" w:eastAsia="仿宋" w:cs="宋体"/>
          <w:color w:val="000000"/>
          <w:spacing w:val="15"/>
          <w:kern w:val="0"/>
          <w:sz w:val="32"/>
          <w:szCs w:val="32"/>
        </w:rPr>
        <w:t>全额预算的事业单位；是政府举办的公益卫生事业单位，主要为医疗机构提供临床用血；是市卫生健康委直属的二级预算单位。</w:t>
      </w:r>
      <w:r>
        <w:rPr>
          <w:rFonts w:hint="eastAsia" w:ascii="仿宋" w:hAnsi="仿宋" w:eastAsia="仿宋"/>
          <w:sz w:val="32"/>
          <w:szCs w:val="32"/>
        </w:rPr>
        <w:t>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r>
        <w:rPr>
          <w:rFonts w:hint="eastAsia" w:ascii="仿宋" w:hAnsi="仿宋" w:eastAsia="仿宋"/>
          <w:color w:val="000000"/>
          <w:sz w:val="32"/>
          <w:szCs w:val="32"/>
        </w:rPr>
        <w:t>纳入2019年度部门决算编制范围的二级预算单位包括</w:t>
      </w:r>
      <w:bookmarkStart w:id="57" w:name="_Toc15378450"/>
      <w:bookmarkStart w:id="58" w:name="_Toc15377434"/>
      <w:bookmarkStart w:id="59" w:name="_Toc15377203"/>
      <w:bookmarkStart w:id="60" w:name="_Toc15306277"/>
      <w:r>
        <w:rPr>
          <w:rFonts w:hint="eastAsia" w:ascii="仿宋" w:hAnsi="仿宋" w:eastAsia="仿宋"/>
          <w:color w:val="000000"/>
          <w:sz w:val="32"/>
          <w:szCs w:val="32"/>
        </w:rPr>
        <w:t>0个。</w:t>
      </w:r>
      <w:bookmarkEnd w:id="57"/>
      <w:bookmarkEnd w:id="58"/>
      <w:bookmarkEnd w:id="59"/>
      <w:bookmarkEnd w:id="60"/>
    </w:p>
    <w:p>
      <w:pPr>
        <w:pStyle w:val="5"/>
        <w:adjustRightInd w:val="0"/>
        <w:snapToGrid w:val="0"/>
        <w:spacing w:beforeLines="0" w:line="600" w:lineRule="exact"/>
        <w:ind w:firstLine="640" w:firstLineChars="200"/>
        <w:rPr>
          <w:rFonts w:ascii="仿宋" w:hAnsi="仿宋" w:eastAsia="仿宋"/>
          <w:color w:val="000000"/>
          <w:sz w:val="32"/>
          <w:szCs w:val="32"/>
        </w:rPr>
      </w:pPr>
      <w:r>
        <w:rPr>
          <w:rFonts w:hint="eastAsia" w:hAnsi="宋体" w:cs="宋体"/>
          <w:color w:val="000000"/>
          <w:sz w:val="32"/>
          <w:szCs w:val="32"/>
          <w:shd w:val="clear" w:color="auto" w:fill="FFFFFF"/>
          <w:lang w:val="zh-CN"/>
        </w:rPr>
        <w:t>（二）机构职能。</w:t>
      </w:r>
    </w:p>
    <w:p>
      <w:pPr>
        <w:pStyle w:val="5"/>
        <w:adjustRightInd w:val="0"/>
        <w:snapToGrid w:val="0"/>
        <w:spacing w:beforeLines="0" w:line="600" w:lineRule="exact"/>
        <w:ind w:firstLine="640" w:firstLineChars="200"/>
        <w:outlineLvl w:val="2"/>
        <w:rPr>
          <w:rFonts w:ascii="仿宋" w:hAnsi="仿宋" w:eastAsia="仿宋"/>
          <w:bCs/>
          <w:color w:val="000000"/>
          <w:sz w:val="32"/>
          <w:szCs w:val="32"/>
        </w:rPr>
      </w:pPr>
      <w:r>
        <w:rPr>
          <w:rFonts w:hint="eastAsia" w:ascii="仿宋" w:hAnsi="仿宋" w:eastAsia="仿宋"/>
          <w:bCs/>
          <w:color w:val="000000"/>
          <w:sz w:val="32"/>
          <w:szCs w:val="32"/>
        </w:rPr>
        <w:t>巴中市中心血站建于2000年6月，2001年7月经原四川省卫生厅批准开展采供血工作，是巴中市唯一的采供血机构。主要职责是承担全市271万余人、90多家医疗机构临床用血。根据《中华人民共和国献血法》，《血站管理办法》等法律法规要求应承担以下职责：按照省级人民政府卫生行政部门的要求，再规定范围内开展无偿献血者的招募、血液的采集与制备、临床用血供血以及医疗用血的业务指导等工作；承担供血区域范围内血液储存的质量控制；对所在行政区域内的中心血库进行质量控制；承担卫生行政部门交办的任务。</w:t>
      </w:r>
    </w:p>
    <w:p>
      <w:pPr>
        <w:pStyle w:val="5"/>
        <w:adjustRightInd w:val="0"/>
        <w:snapToGrid w:val="0"/>
        <w:spacing w:beforeLines="0" w:line="600" w:lineRule="exact"/>
        <w:ind w:firstLine="640" w:firstLineChars="200"/>
        <w:outlineLvl w:val="2"/>
        <w:rPr>
          <w:rFonts w:ascii="仿宋" w:hAnsi="仿宋" w:eastAsia="仿宋" w:cs="宋体"/>
          <w:color w:val="000000"/>
          <w:spacing w:val="15"/>
          <w:sz w:val="32"/>
          <w:szCs w:val="32"/>
        </w:rPr>
      </w:pPr>
      <w:r>
        <w:rPr>
          <w:rFonts w:hint="eastAsia" w:hAnsi="宋体" w:cs="宋体"/>
          <w:color w:val="000000"/>
          <w:sz w:val="32"/>
          <w:szCs w:val="32"/>
          <w:shd w:val="clear" w:color="auto" w:fill="FFFFFF"/>
          <w:lang w:val="zh-CN"/>
        </w:rPr>
        <w:t>（三）</w:t>
      </w:r>
      <w:r>
        <w:rPr>
          <w:rFonts w:hint="eastAsia" w:ascii="仿宋" w:hAnsi="仿宋" w:eastAsia="仿宋" w:cs="宋体"/>
          <w:color w:val="000000"/>
          <w:spacing w:val="15"/>
          <w:sz w:val="32"/>
          <w:szCs w:val="32"/>
        </w:rPr>
        <w:t>人员概况。</w:t>
      </w:r>
    </w:p>
    <w:p>
      <w:pPr>
        <w:pStyle w:val="5"/>
        <w:adjustRightInd w:val="0"/>
        <w:snapToGrid w:val="0"/>
        <w:spacing w:beforeLines="0" w:line="600" w:lineRule="exact"/>
        <w:ind w:firstLine="700" w:firstLineChars="200"/>
        <w:outlineLvl w:val="2"/>
        <w:rPr>
          <w:rFonts w:ascii="仿宋" w:hAnsi="仿宋" w:eastAsia="仿宋" w:cs="宋体"/>
          <w:color w:val="000000"/>
          <w:spacing w:val="15"/>
          <w:sz w:val="32"/>
          <w:szCs w:val="32"/>
        </w:rPr>
      </w:pPr>
      <w:r>
        <w:rPr>
          <w:rFonts w:hint="eastAsia" w:ascii="仿宋" w:hAnsi="仿宋" w:eastAsia="仿宋" w:cs="宋体"/>
          <w:color w:val="000000"/>
          <w:spacing w:val="15"/>
          <w:sz w:val="32"/>
          <w:szCs w:val="32"/>
        </w:rPr>
        <w:t xml:space="preserve"> 巴中市中心血站年末实有人员71人，其中专业技术人员59人，管理人员3人，工勤人员9人。</w:t>
      </w:r>
    </w:p>
    <w:p>
      <w:pPr>
        <w:widowControl/>
        <w:adjustRightInd w:val="0"/>
        <w:snapToGrid w:val="0"/>
        <w:spacing w:line="60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30"/>
        <w:widowControl/>
        <w:numPr>
          <w:ilvl w:val="0"/>
          <w:numId w:val="2"/>
        </w:numPr>
        <w:adjustRightInd w:val="0"/>
        <w:snapToGrid w:val="0"/>
        <w:spacing w:line="600" w:lineRule="exact"/>
        <w:ind w:firstLineChars="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部门财政资金收入情况。</w:t>
      </w:r>
    </w:p>
    <w:p>
      <w:pPr>
        <w:widowControl/>
        <w:adjustRightInd w:val="0"/>
        <w:snapToGrid w:val="0"/>
        <w:spacing w:line="600" w:lineRule="exact"/>
        <w:ind w:firstLine="640" w:firstLineChars="200"/>
        <w:contextualSpacing/>
        <w:jc w:val="left"/>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年度收入总计2307.05万元，与</w:t>
      </w:r>
      <w:r>
        <w:rPr>
          <w:rFonts w:ascii="仿宋" w:hAnsi="仿宋" w:eastAsia="仿宋"/>
          <w:color w:val="000000"/>
          <w:sz w:val="32"/>
          <w:szCs w:val="32"/>
        </w:rPr>
        <w:t>2019</w:t>
      </w:r>
      <w:r>
        <w:rPr>
          <w:rFonts w:hint="eastAsia" w:ascii="仿宋" w:hAnsi="仿宋" w:eastAsia="仿宋"/>
          <w:color w:val="000000"/>
          <w:sz w:val="32"/>
          <w:szCs w:val="32"/>
        </w:rPr>
        <w:t>年相比，收入总计各增加89.86万元，增长0.04</w:t>
      </w:r>
      <w:r>
        <w:rPr>
          <w:rFonts w:ascii="仿宋" w:hAnsi="仿宋" w:eastAsia="仿宋"/>
          <w:color w:val="000000"/>
          <w:sz w:val="32"/>
          <w:szCs w:val="32"/>
        </w:rPr>
        <w:t>%</w:t>
      </w:r>
      <w:r>
        <w:rPr>
          <w:rFonts w:hint="eastAsia" w:ascii="仿宋" w:hAnsi="仿宋" w:eastAsia="仿宋"/>
          <w:color w:val="000000"/>
          <w:sz w:val="32"/>
          <w:szCs w:val="32"/>
        </w:rPr>
        <w:t>。2020年支付总计1638.05万元，与</w:t>
      </w:r>
      <w:r>
        <w:rPr>
          <w:rFonts w:ascii="仿宋" w:hAnsi="仿宋" w:eastAsia="仿宋"/>
          <w:color w:val="000000"/>
          <w:sz w:val="32"/>
          <w:szCs w:val="32"/>
        </w:rPr>
        <w:t>2019</w:t>
      </w:r>
      <w:r>
        <w:rPr>
          <w:rFonts w:hint="eastAsia" w:ascii="仿宋" w:hAnsi="仿宋" w:eastAsia="仿宋"/>
          <w:color w:val="000000"/>
          <w:sz w:val="32"/>
          <w:szCs w:val="32"/>
        </w:rPr>
        <w:t>年相比，减少总计各减少580.14万元，减少0.04</w:t>
      </w:r>
      <w:r>
        <w:rPr>
          <w:rFonts w:ascii="仿宋" w:hAnsi="仿宋" w:eastAsia="仿宋"/>
          <w:color w:val="000000"/>
          <w:sz w:val="32"/>
          <w:szCs w:val="32"/>
        </w:rPr>
        <w:t>%</w:t>
      </w:r>
      <w:r>
        <w:rPr>
          <w:rFonts w:hint="eastAsia" w:ascii="仿宋" w:hAnsi="仿宋" w:eastAsia="仿宋"/>
          <w:color w:val="000000"/>
          <w:sz w:val="32"/>
          <w:szCs w:val="32"/>
        </w:rPr>
        <w:t>。2020年结余资金669万元。</w:t>
      </w:r>
    </w:p>
    <w:p>
      <w:pPr>
        <w:widowControl/>
        <w:adjustRightInd w:val="0"/>
        <w:snapToGrid w:val="0"/>
        <w:spacing w:line="600" w:lineRule="exact"/>
        <w:ind w:firstLine="640" w:firstLineChars="200"/>
        <w:contextualSpacing/>
        <w:jc w:val="left"/>
        <w:rPr>
          <w:rFonts w:ascii="仿宋_GB2312" w:hAnsi="宋体" w:eastAsia="仿宋"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spacing w:line="60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 w:hAnsi="仿宋" w:eastAsia="仿宋"/>
          <w:color w:val="000000"/>
          <w:sz w:val="32"/>
          <w:szCs w:val="32"/>
        </w:rPr>
        <w:t>2020年支付总计1638.05万元，与</w:t>
      </w:r>
      <w:r>
        <w:rPr>
          <w:rFonts w:ascii="仿宋" w:hAnsi="仿宋" w:eastAsia="仿宋"/>
          <w:color w:val="000000"/>
          <w:sz w:val="32"/>
          <w:szCs w:val="32"/>
        </w:rPr>
        <w:t>2019</w:t>
      </w:r>
      <w:r>
        <w:rPr>
          <w:rFonts w:hint="eastAsia" w:ascii="仿宋" w:hAnsi="仿宋" w:eastAsia="仿宋"/>
          <w:color w:val="000000"/>
          <w:sz w:val="32"/>
          <w:szCs w:val="32"/>
        </w:rPr>
        <w:t>年相比，减少总计各减少580.14万元，减少0.04</w:t>
      </w:r>
      <w:r>
        <w:rPr>
          <w:rFonts w:ascii="仿宋" w:hAnsi="仿宋" w:eastAsia="仿宋"/>
          <w:color w:val="000000"/>
          <w:sz w:val="32"/>
          <w:szCs w:val="32"/>
        </w:rPr>
        <w:t>%</w:t>
      </w:r>
      <w:r>
        <w:rPr>
          <w:rFonts w:hint="eastAsia" w:ascii="仿宋" w:hAnsi="仿宋" w:eastAsia="仿宋"/>
          <w:color w:val="000000"/>
          <w:sz w:val="32"/>
          <w:szCs w:val="32"/>
        </w:rPr>
        <w:t>。2020年结余资金669万元。</w:t>
      </w:r>
    </w:p>
    <w:p>
      <w:pPr>
        <w:widowControl/>
        <w:adjustRightInd w:val="0"/>
        <w:snapToGrid w:val="0"/>
        <w:spacing w:line="60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600" w:lineRule="exact"/>
        <w:ind w:firstLine="640" w:firstLineChars="200"/>
        <w:contextualSpacing/>
        <w:jc w:val="left"/>
        <w:rPr>
          <w:rFonts w:ascii="仿宋" w:hAnsi="仿宋" w:eastAsia="仿宋"/>
          <w:color w:val="000000"/>
          <w:sz w:val="32"/>
          <w:szCs w:val="32"/>
        </w:rPr>
      </w:pPr>
      <w:r>
        <w:rPr>
          <w:rFonts w:hint="eastAsia" w:ascii="仿宋_GB2312" w:hAnsi="宋体" w:eastAsia="仿宋_GB2312" w:cs="宋体"/>
          <w:color w:val="000000"/>
          <w:kern w:val="0"/>
          <w:sz w:val="32"/>
          <w:szCs w:val="32"/>
          <w:shd w:val="clear" w:color="auto" w:fill="FFFFFF"/>
          <w:lang w:val="zh-CN"/>
        </w:rPr>
        <w:t>（一）</w:t>
      </w:r>
      <w:r>
        <w:rPr>
          <w:rFonts w:hint="eastAsia" w:ascii="仿宋_GB2312" w:hAnsi="宋体" w:eastAsia="仿宋_GB2312" w:cs="宋体"/>
          <w:b/>
          <w:bCs/>
          <w:color w:val="000000"/>
          <w:kern w:val="0"/>
          <w:sz w:val="32"/>
          <w:szCs w:val="32"/>
          <w:shd w:val="clear" w:color="auto" w:fill="FFFFFF"/>
          <w:lang w:val="zh-CN"/>
        </w:rPr>
        <w:t>部门预算管理</w:t>
      </w:r>
      <w:r>
        <w:rPr>
          <w:rFonts w:hint="eastAsia" w:ascii="仿宋_GB2312" w:hAnsi="宋体" w:eastAsia="仿宋_GB2312" w:cs="宋体"/>
          <w:color w:val="000000"/>
          <w:kern w:val="0"/>
          <w:sz w:val="32"/>
          <w:szCs w:val="32"/>
          <w:shd w:val="clear" w:color="auto" w:fill="FFFFFF"/>
          <w:lang w:val="zh-CN"/>
        </w:rPr>
        <w:t>。</w:t>
      </w:r>
      <w:r>
        <w:rPr>
          <w:rFonts w:hint="eastAsia" w:ascii="仿宋" w:hAnsi="仿宋" w:eastAsia="仿宋"/>
          <w:color w:val="000000"/>
          <w:sz w:val="32"/>
          <w:szCs w:val="32"/>
        </w:rPr>
        <w:t>根据财政相关规定巴中市中心血站严格进行绩效目标管理，通过建立合理完善的制度体系和高效有序的运转流程，部门整体支出的经济性、效率性、有效性和可持续性都明显增强，切实提升了本部门整体支出效益，有力推动了各项工作开展，实现了部门预算管理总体目标。</w:t>
      </w:r>
    </w:p>
    <w:p>
      <w:pPr>
        <w:widowControl/>
        <w:adjustRightInd w:val="0"/>
        <w:snapToGrid w:val="0"/>
        <w:spacing w:line="600" w:lineRule="exact"/>
        <w:ind w:firstLine="640" w:firstLineChars="200"/>
        <w:contextualSpacing/>
        <w:jc w:val="left"/>
        <w:rPr>
          <w:rFonts w:ascii="仿宋_GB2312" w:hAnsi="宋体" w:eastAsia="仿宋_GB2312"/>
          <w:kern w:val="0"/>
          <w:sz w:val="32"/>
          <w:szCs w:val="32"/>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rPr>
        <w:t>二</w:t>
      </w:r>
      <w:r>
        <w:rPr>
          <w:rFonts w:hint="eastAsia" w:ascii="仿宋_GB2312" w:hAnsi="宋体" w:eastAsia="仿宋_GB2312" w:cs="宋体"/>
          <w:color w:val="000000"/>
          <w:kern w:val="0"/>
          <w:sz w:val="32"/>
          <w:szCs w:val="32"/>
          <w:shd w:val="clear" w:color="auto" w:fill="FFFFFF"/>
          <w:lang w:val="zh-CN"/>
        </w:rPr>
        <w:t>）</w:t>
      </w:r>
      <w:r>
        <w:rPr>
          <w:rFonts w:hint="eastAsia" w:ascii="楷体" w:hAnsi="楷体" w:eastAsia="楷体" w:cs="宋体"/>
          <w:b/>
          <w:color w:val="000000"/>
          <w:kern w:val="0"/>
          <w:sz w:val="32"/>
          <w:szCs w:val="32"/>
          <w:shd w:val="clear" w:color="auto" w:fill="FFFFFF"/>
          <w:lang w:val="zh-CN"/>
        </w:rPr>
        <w:t>绩效目标管理情况</w:t>
      </w:r>
      <w:r>
        <w:rPr>
          <w:rFonts w:hint="eastAsia" w:ascii="仿宋_GB2312" w:hAnsi="宋体" w:eastAsia="仿宋_GB2312" w:cs="宋体"/>
          <w:color w:val="000000"/>
          <w:kern w:val="0"/>
          <w:sz w:val="32"/>
          <w:szCs w:val="32"/>
          <w:shd w:val="clear" w:color="auto" w:fill="FFFFFF"/>
          <w:lang w:val="zh-CN"/>
        </w:rPr>
        <w:t>。</w:t>
      </w:r>
      <w:r>
        <w:rPr>
          <w:rFonts w:hint="eastAsia" w:ascii="仿宋" w:hAnsi="仿宋" w:eastAsia="仿宋"/>
          <w:color w:val="000000"/>
          <w:sz w:val="32"/>
          <w:szCs w:val="32"/>
        </w:rPr>
        <w:t>按照预算绩效管理要求，</w:t>
      </w:r>
      <w:r>
        <w:rPr>
          <w:rFonts w:hint="eastAsia" w:ascii="仿宋_GB2312" w:hAnsi="宋体" w:eastAsia="仿宋_GB2312"/>
          <w:kern w:val="0"/>
          <w:sz w:val="32"/>
          <w:szCs w:val="32"/>
        </w:rPr>
        <w:t>项目申报内容与具体实施内容相符，申报目标合理可行，确保绩效目标的完整性可行性，绩效目标过程监控的规范性和长效性，便于客观公正地评价绩效情况。为进一步加强财务管理，严格按照国家统一的会计制度及进行账务处理、编制财务报告，保障工作顺利完成。</w:t>
      </w:r>
    </w:p>
    <w:p>
      <w:pPr>
        <w:widowControl/>
        <w:adjustRightInd w:val="0"/>
        <w:snapToGrid w:val="0"/>
        <w:spacing w:line="60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pStyle w:val="30"/>
        <w:widowControl/>
        <w:numPr>
          <w:ilvl w:val="0"/>
          <w:numId w:val="3"/>
        </w:numPr>
        <w:adjustRightInd w:val="0"/>
        <w:snapToGrid w:val="0"/>
        <w:spacing w:line="600" w:lineRule="exact"/>
        <w:ind w:firstLineChars="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评价结论。</w:t>
      </w:r>
    </w:p>
    <w:p>
      <w:pPr>
        <w:widowControl/>
        <w:adjustRightInd w:val="0"/>
        <w:snapToGrid w:val="0"/>
        <w:spacing w:line="60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巴中市中心血站在预算执行过程中，执行内容与年初预算相符，</w:t>
      </w:r>
      <w:r>
        <w:rPr>
          <w:rFonts w:hint="eastAsia" w:ascii="仿宋_GB2312" w:hAnsi="宋体" w:eastAsia="仿宋_GB2312"/>
          <w:kern w:val="0"/>
          <w:sz w:val="32"/>
          <w:szCs w:val="32"/>
        </w:rPr>
        <w:t>项目执行过程中严格执行财务管理制度，</w:t>
      </w:r>
      <w:r>
        <w:rPr>
          <w:rFonts w:hint="eastAsia" w:ascii="仿宋_GB2312" w:hAnsi="宋体" w:eastAsia="仿宋_GB2312" w:cs="宋体"/>
          <w:color w:val="000000"/>
          <w:kern w:val="0"/>
          <w:sz w:val="32"/>
          <w:szCs w:val="32"/>
          <w:shd w:val="clear" w:color="auto" w:fill="FFFFFF"/>
        </w:rPr>
        <w:t>资金按财政要求执行，履行相关职责按相关规定完成工作。</w:t>
      </w:r>
    </w:p>
    <w:p>
      <w:pPr>
        <w:pStyle w:val="30"/>
        <w:widowControl/>
        <w:numPr>
          <w:ilvl w:val="0"/>
          <w:numId w:val="3"/>
        </w:numPr>
        <w:adjustRightInd w:val="0"/>
        <w:snapToGrid w:val="0"/>
        <w:spacing w:line="600" w:lineRule="exact"/>
        <w:ind w:firstLineChars="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存在问题。</w:t>
      </w:r>
    </w:p>
    <w:p>
      <w:pPr>
        <w:widowControl/>
        <w:adjustRightInd w:val="0"/>
        <w:snapToGrid w:val="0"/>
        <w:spacing w:line="60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预算编制及执行监控有待提升，内控制度需进一步结合实际完善，加强相关人员的业务培训。</w:t>
      </w:r>
    </w:p>
    <w:p>
      <w:pPr>
        <w:widowControl/>
        <w:adjustRightInd w:val="0"/>
        <w:snapToGrid w:val="0"/>
        <w:spacing w:line="600" w:lineRule="exact"/>
        <w:ind w:firstLine="640" w:firstLineChars="2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lang w:val="zh-CN"/>
        </w:rPr>
        <w:t>（三）改进建议。</w:t>
      </w:r>
    </w:p>
    <w:p>
      <w:pPr>
        <w:spacing w:line="600" w:lineRule="exact"/>
        <w:ind w:firstLine="640" w:firstLineChars="200"/>
        <w:rPr>
          <w:rFonts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rPr>
        <w:t>加强预算收支管理，加强执行过程中的监管，严格按照年初预算相关内容执行资金的支付。</w:t>
      </w:r>
    </w:p>
    <w:p>
      <w:pPr>
        <w:spacing w:line="600" w:lineRule="exact"/>
        <w:ind w:firstLine="640" w:firstLineChars="200"/>
        <w:rPr>
          <w:rFonts w:ascii="仿宋_GB2312" w:hAnsi="仿宋_GB2312" w:eastAsia="仿宋_GB2312" w:cs="仿宋_GB2312"/>
          <w:sz w:val="32"/>
          <w:szCs w:val="32"/>
        </w:rPr>
      </w:pPr>
    </w:p>
    <w:p>
      <w:pPr>
        <w:widowControl/>
        <w:jc w:val="left"/>
        <w:rPr>
          <w:rStyle w:val="18"/>
          <w:rFonts w:ascii="黑体" w:hAnsi="黑体" w:eastAsia="黑体"/>
          <w:b w:val="0"/>
        </w:rPr>
      </w:pPr>
    </w:p>
    <w:p>
      <w:pPr>
        <w:widowControl/>
        <w:jc w:val="center"/>
        <w:rPr>
          <w:rStyle w:val="18"/>
          <w:rFonts w:ascii="黑体" w:hAnsi="黑体" w:eastAsia="黑体"/>
          <w:b w:val="0"/>
        </w:rPr>
      </w:pPr>
      <w:r>
        <w:rPr>
          <w:rStyle w:val="18"/>
          <w:rFonts w:ascii="黑体" w:hAnsi="黑体" w:eastAsia="黑体"/>
          <w:b w:val="0"/>
        </w:rPr>
        <w:br w:type="page"/>
      </w:r>
      <w:bookmarkStart w:id="61" w:name="_Toc15396618"/>
      <w:r>
        <w:rPr>
          <w:rFonts w:hint="eastAsia" w:ascii="黑体" w:hAnsi="黑体" w:eastAsia="黑体"/>
          <w:color w:val="000000"/>
          <w:sz w:val="44"/>
          <w:szCs w:val="44"/>
        </w:rPr>
        <w:t>第</w:t>
      </w:r>
      <w:r>
        <w:rPr>
          <w:rStyle w:val="18"/>
          <w:rFonts w:hint="eastAsia" w:ascii="黑体" w:hAnsi="黑体" w:eastAsia="黑体"/>
          <w:b w:val="0"/>
        </w:rPr>
        <w:t>五部分</w:t>
      </w:r>
      <w:r>
        <w:rPr>
          <w:rStyle w:val="18"/>
          <w:rFonts w:ascii="黑体" w:hAnsi="黑体" w:eastAsia="黑体"/>
          <w:b w:val="0"/>
        </w:rPr>
        <w:t xml:space="preserve"> </w:t>
      </w:r>
      <w:r>
        <w:rPr>
          <w:rStyle w:val="18"/>
          <w:rFonts w:hint="eastAsia" w:ascii="黑体" w:hAnsi="黑体" w:eastAsia="黑体"/>
          <w:b w:val="0"/>
        </w:rPr>
        <w:t>附表</w:t>
      </w:r>
      <w:bookmarkEnd w:id="55"/>
      <w:bookmarkEnd w:id="61"/>
    </w:p>
    <w:p>
      <w:pPr>
        <w:pStyle w:val="3"/>
        <w:rPr>
          <w:rFonts w:ascii="仿宋" w:hAnsi="仿宋" w:eastAsia="仿宋"/>
          <w:b w:val="0"/>
          <w:color w:val="000000"/>
        </w:rPr>
      </w:pPr>
      <w:bookmarkStart w:id="62" w:name="_Toc15396619"/>
      <w:r>
        <w:rPr>
          <w:rFonts w:hint="eastAsia" w:ascii="仿宋" w:hAnsi="仿宋" w:eastAsia="仿宋"/>
          <w:b w:val="0"/>
          <w:color w:val="000000"/>
        </w:rPr>
        <w:t>一、收</w:t>
      </w:r>
      <w:r>
        <w:rPr>
          <w:rStyle w:val="19"/>
          <w:rFonts w:hint="eastAsia" w:ascii="仿宋" w:hAnsi="仿宋" w:eastAsia="仿宋"/>
          <w:b w:val="0"/>
          <w:bCs w:val="0"/>
        </w:rPr>
        <w:t>入支出决算总表</w:t>
      </w:r>
      <w:bookmarkEnd w:id="62"/>
    </w:p>
    <w:p>
      <w:pPr>
        <w:pStyle w:val="3"/>
        <w:rPr>
          <w:rFonts w:ascii="仿宋" w:hAnsi="仿宋" w:eastAsia="仿宋"/>
          <w:b w:val="0"/>
          <w:color w:val="000000"/>
        </w:rPr>
      </w:pPr>
      <w:bookmarkStart w:id="63" w:name="_Toc15396620"/>
      <w:r>
        <w:rPr>
          <w:rFonts w:hint="eastAsia" w:ascii="仿宋" w:hAnsi="仿宋" w:eastAsia="仿宋"/>
          <w:b w:val="0"/>
          <w:color w:val="000000"/>
        </w:rPr>
        <w:t>二、收</w:t>
      </w:r>
      <w:r>
        <w:rPr>
          <w:rStyle w:val="19"/>
          <w:rFonts w:hint="eastAsia" w:ascii="仿宋" w:hAnsi="仿宋" w:eastAsia="仿宋"/>
          <w:b w:val="0"/>
          <w:bCs w:val="0"/>
        </w:rPr>
        <w:t>入决算表</w:t>
      </w:r>
      <w:bookmarkEnd w:id="63"/>
    </w:p>
    <w:p>
      <w:pPr>
        <w:pStyle w:val="3"/>
        <w:rPr>
          <w:rFonts w:ascii="仿宋" w:hAnsi="仿宋" w:eastAsia="仿宋"/>
          <w:b w:val="0"/>
          <w:color w:val="000000"/>
        </w:rPr>
      </w:pPr>
      <w:bookmarkStart w:id="64" w:name="_Toc1539662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64"/>
    </w:p>
    <w:p>
      <w:pPr>
        <w:pStyle w:val="3"/>
        <w:rPr>
          <w:rFonts w:ascii="仿宋" w:hAnsi="仿宋" w:eastAsia="仿宋"/>
          <w:b w:val="0"/>
          <w:color w:val="000000"/>
        </w:rPr>
      </w:pPr>
      <w:bookmarkStart w:id="65" w:name="_Toc15396622"/>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5"/>
    </w:p>
    <w:p>
      <w:pPr>
        <w:pStyle w:val="3"/>
        <w:rPr>
          <w:rStyle w:val="19"/>
          <w:rFonts w:ascii="仿宋" w:hAnsi="仿宋" w:eastAsia="仿宋"/>
          <w:b w:val="0"/>
          <w:bCs w:val="0"/>
        </w:rPr>
      </w:pPr>
      <w:bookmarkStart w:id="66" w:name="_Toc15396623"/>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66"/>
      <w:bookmarkStart w:id="67" w:name="_Toc15396624"/>
    </w:p>
    <w:p>
      <w:pPr>
        <w:pStyle w:val="3"/>
        <w:rPr>
          <w:rFonts w:ascii="仿宋" w:hAnsi="仿宋" w:eastAsia="仿宋"/>
          <w:b w:val="0"/>
          <w:color w:val="000000"/>
        </w:rPr>
      </w:pPr>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7"/>
    </w:p>
    <w:p>
      <w:pPr>
        <w:pStyle w:val="3"/>
        <w:rPr>
          <w:rFonts w:ascii="仿宋" w:hAnsi="仿宋" w:eastAsia="仿宋"/>
          <w:b w:val="0"/>
          <w:color w:val="000000"/>
        </w:rPr>
      </w:pPr>
      <w:bookmarkStart w:id="68" w:name="_Toc15396625"/>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8"/>
    </w:p>
    <w:p>
      <w:pPr>
        <w:pStyle w:val="3"/>
        <w:rPr>
          <w:rFonts w:ascii="仿宋" w:hAnsi="仿宋" w:eastAsia="仿宋"/>
          <w:b w:val="0"/>
          <w:color w:val="000000"/>
        </w:rPr>
      </w:pPr>
      <w:bookmarkStart w:id="69" w:name="_Toc15396626"/>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69"/>
    </w:p>
    <w:p>
      <w:pPr>
        <w:pStyle w:val="3"/>
        <w:rPr>
          <w:rFonts w:ascii="仿宋" w:hAnsi="仿宋" w:eastAsia="仿宋"/>
          <w:b w:val="0"/>
          <w:color w:val="000000"/>
        </w:rPr>
      </w:pPr>
      <w:bookmarkStart w:id="70" w:name="_Toc15396627"/>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70"/>
    </w:p>
    <w:p>
      <w:pPr>
        <w:pStyle w:val="3"/>
        <w:rPr>
          <w:rFonts w:ascii="仿宋" w:hAnsi="仿宋" w:eastAsia="仿宋"/>
          <w:b w:val="0"/>
          <w:color w:val="000000"/>
        </w:rPr>
      </w:pPr>
      <w:bookmarkStart w:id="71" w:name="_Toc15396628"/>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71"/>
    </w:p>
    <w:p>
      <w:pPr>
        <w:pStyle w:val="3"/>
        <w:rPr>
          <w:rFonts w:ascii="仿宋" w:hAnsi="仿宋" w:eastAsia="仿宋"/>
          <w:b w:val="0"/>
          <w:color w:val="000000"/>
        </w:rPr>
      </w:pPr>
      <w:bookmarkStart w:id="72" w:name="_Toc15396629"/>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72"/>
    </w:p>
    <w:p>
      <w:pPr>
        <w:pStyle w:val="3"/>
        <w:rPr>
          <w:rFonts w:ascii="仿宋" w:hAnsi="仿宋" w:eastAsia="仿宋"/>
          <w:b w:val="0"/>
          <w:color w:val="000000"/>
        </w:rPr>
      </w:pPr>
      <w:bookmarkStart w:id="73" w:name="_Toc15396630"/>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73"/>
    </w:p>
    <w:p>
      <w:pPr>
        <w:pStyle w:val="3"/>
        <w:rPr>
          <w:b w:val="0"/>
        </w:rPr>
      </w:pPr>
      <w:bookmarkStart w:id="74" w:name="_Toc15396631"/>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有资本经营预算财政拨款收入支出决算表</w:t>
      </w:r>
      <w:bookmarkEnd w:id="74"/>
    </w:p>
    <w:p>
      <w:pPr>
        <w:pStyle w:val="3"/>
        <w:rPr>
          <w:b w:val="0"/>
        </w:rPr>
      </w:pPr>
      <w:r>
        <w:rPr>
          <w:rStyle w:val="19"/>
          <w:rFonts w:hint="eastAsia" w:ascii="仿宋" w:hAnsi="仿宋" w:eastAsia="仿宋"/>
          <w:b w:val="0"/>
          <w:bCs w:val="0"/>
        </w:rPr>
        <w:t>十四、</w:t>
      </w:r>
      <w:r>
        <w:rPr>
          <w:rFonts w:hint="eastAsia" w:ascii="仿宋" w:hAnsi="仿宋" w:eastAsia="仿宋"/>
          <w:b w:val="0"/>
          <w:color w:val="000000"/>
        </w:rPr>
        <w:t>国</w:t>
      </w:r>
      <w:r>
        <w:rPr>
          <w:rStyle w:val="19"/>
          <w:rFonts w:hint="eastAsia" w:ascii="仿宋" w:hAnsi="仿宋" w:eastAsia="仿宋"/>
          <w:b w:val="0"/>
          <w:bCs w:val="0"/>
        </w:rPr>
        <w:t>有资本经营预算财政拨款支出决算表</w:t>
      </w: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038682094"/>
    </w:sdtPr>
    <w:sdtEndPr>
      <w:rPr>
        <w:sz w:val="28"/>
        <w:szCs w:val="28"/>
      </w:rPr>
    </w:sdtEndPr>
    <w:sdtContent>
      <w:p>
        <w:pPr>
          <w:pStyle w:val="8"/>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21 -</w:t>
        </w:r>
        <w:r>
          <w:rPr>
            <w:sz w:val="28"/>
            <w:szCs w:val="28"/>
          </w:rPr>
          <w:fldChar w:fldCharType="end"/>
        </w:r>
      </w:p>
    </w:sdtContent>
  </w:sdt>
  <w:p>
    <w:pPr>
      <w:pStyle w:val="8"/>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4F9B77"/>
    <w:multiLevelType w:val="singleLevel"/>
    <w:tmpl w:val="894F9B77"/>
    <w:lvl w:ilvl="0" w:tentative="0">
      <w:start w:val="1"/>
      <w:numFmt w:val="decimal"/>
      <w:suff w:val="nothing"/>
      <w:lvlText w:val="（%1）"/>
      <w:lvlJc w:val="left"/>
    </w:lvl>
  </w:abstractNum>
  <w:abstractNum w:abstractNumId="1">
    <w:nsid w:val="2B6A3912"/>
    <w:multiLevelType w:val="multilevel"/>
    <w:tmpl w:val="2B6A391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3AB3F30"/>
    <w:multiLevelType w:val="multilevel"/>
    <w:tmpl w:val="73AB3F30"/>
    <w:lvl w:ilvl="0" w:tentative="0">
      <w:start w:val="1"/>
      <w:numFmt w:val="japaneseCounting"/>
      <w:lvlText w:val="（%1）"/>
      <w:lvlJc w:val="left"/>
      <w:pPr>
        <w:ind w:left="1720" w:hanging="1080"/>
      </w:pPr>
      <w:rPr>
        <w:rFonts w:hint="default" w:ascii="仿宋" w:hAnsi="仿宋" w:eastAsia="仿宋"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6E"/>
    <w:rsid w:val="000351F0"/>
    <w:rsid w:val="000F2EB7"/>
    <w:rsid w:val="00195254"/>
    <w:rsid w:val="001B116B"/>
    <w:rsid w:val="001F0DE8"/>
    <w:rsid w:val="00287E8D"/>
    <w:rsid w:val="00324B9B"/>
    <w:rsid w:val="003F15DF"/>
    <w:rsid w:val="003F5A8C"/>
    <w:rsid w:val="004A0115"/>
    <w:rsid w:val="004B3764"/>
    <w:rsid w:val="00506586"/>
    <w:rsid w:val="00507A97"/>
    <w:rsid w:val="00662607"/>
    <w:rsid w:val="006A5CF8"/>
    <w:rsid w:val="006F474D"/>
    <w:rsid w:val="007356AD"/>
    <w:rsid w:val="0083337B"/>
    <w:rsid w:val="009142E6"/>
    <w:rsid w:val="00931B39"/>
    <w:rsid w:val="00932512"/>
    <w:rsid w:val="00935783"/>
    <w:rsid w:val="00952B93"/>
    <w:rsid w:val="00957EE9"/>
    <w:rsid w:val="009F22E4"/>
    <w:rsid w:val="00A61D77"/>
    <w:rsid w:val="00A9449D"/>
    <w:rsid w:val="00C46054"/>
    <w:rsid w:val="00C505D3"/>
    <w:rsid w:val="00CD546E"/>
    <w:rsid w:val="00CF0D70"/>
    <w:rsid w:val="00D167CE"/>
    <w:rsid w:val="00D4422B"/>
    <w:rsid w:val="00D55AC1"/>
    <w:rsid w:val="00DE0205"/>
    <w:rsid w:val="00E353E6"/>
    <w:rsid w:val="00E6574A"/>
    <w:rsid w:val="00ED2EFF"/>
    <w:rsid w:val="00F44D6B"/>
    <w:rsid w:val="00FD3225"/>
    <w:rsid w:val="010025D6"/>
    <w:rsid w:val="012275EB"/>
    <w:rsid w:val="015F20E0"/>
    <w:rsid w:val="017F7A32"/>
    <w:rsid w:val="01DE6F09"/>
    <w:rsid w:val="01F33C31"/>
    <w:rsid w:val="0223580D"/>
    <w:rsid w:val="022A62C3"/>
    <w:rsid w:val="02337312"/>
    <w:rsid w:val="023F0EFB"/>
    <w:rsid w:val="02784071"/>
    <w:rsid w:val="03243775"/>
    <w:rsid w:val="03B90B19"/>
    <w:rsid w:val="03BC604C"/>
    <w:rsid w:val="03F75430"/>
    <w:rsid w:val="0409364D"/>
    <w:rsid w:val="04384DD2"/>
    <w:rsid w:val="048045E9"/>
    <w:rsid w:val="049F0EA2"/>
    <w:rsid w:val="04A704FA"/>
    <w:rsid w:val="04B85F51"/>
    <w:rsid w:val="04EF138D"/>
    <w:rsid w:val="0509035F"/>
    <w:rsid w:val="055C5430"/>
    <w:rsid w:val="05703399"/>
    <w:rsid w:val="05811EF2"/>
    <w:rsid w:val="05ED0D72"/>
    <w:rsid w:val="063B330D"/>
    <w:rsid w:val="06613125"/>
    <w:rsid w:val="069452B3"/>
    <w:rsid w:val="06F876E1"/>
    <w:rsid w:val="075A1EDD"/>
    <w:rsid w:val="07B83E97"/>
    <w:rsid w:val="07D011C1"/>
    <w:rsid w:val="084A2981"/>
    <w:rsid w:val="0855799B"/>
    <w:rsid w:val="08D94CB2"/>
    <w:rsid w:val="08E576D0"/>
    <w:rsid w:val="09AC42C4"/>
    <w:rsid w:val="09B33797"/>
    <w:rsid w:val="0A0F4D7B"/>
    <w:rsid w:val="0A1B14C6"/>
    <w:rsid w:val="0A206DEF"/>
    <w:rsid w:val="0A4832C9"/>
    <w:rsid w:val="0B110460"/>
    <w:rsid w:val="0B353104"/>
    <w:rsid w:val="0B457473"/>
    <w:rsid w:val="0BAE1334"/>
    <w:rsid w:val="0C0D386A"/>
    <w:rsid w:val="0C234277"/>
    <w:rsid w:val="0C350DA1"/>
    <w:rsid w:val="0C851A35"/>
    <w:rsid w:val="0CB74654"/>
    <w:rsid w:val="0CDE2CA9"/>
    <w:rsid w:val="0CFB19FB"/>
    <w:rsid w:val="0D000ABE"/>
    <w:rsid w:val="0D373B8C"/>
    <w:rsid w:val="0D5A0C17"/>
    <w:rsid w:val="0D5C1D23"/>
    <w:rsid w:val="0D7A20CC"/>
    <w:rsid w:val="0D7D443F"/>
    <w:rsid w:val="0D994811"/>
    <w:rsid w:val="0DAA07A9"/>
    <w:rsid w:val="0E4D1685"/>
    <w:rsid w:val="0E4F0CD2"/>
    <w:rsid w:val="0E5E572E"/>
    <w:rsid w:val="0E826DF5"/>
    <w:rsid w:val="0E9E0126"/>
    <w:rsid w:val="0E9F48E8"/>
    <w:rsid w:val="0EA63F6D"/>
    <w:rsid w:val="0EC36416"/>
    <w:rsid w:val="0F133B3D"/>
    <w:rsid w:val="0F4303B8"/>
    <w:rsid w:val="0F465BFD"/>
    <w:rsid w:val="0F470427"/>
    <w:rsid w:val="0F687EC8"/>
    <w:rsid w:val="0F72382D"/>
    <w:rsid w:val="0F8A3F63"/>
    <w:rsid w:val="0F951C13"/>
    <w:rsid w:val="0F98393F"/>
    <w:rsid w:val="0FB07D30"/>
    <w:rsid w:val="10752608"/>
    <w:rsid w:val="10C25C6E"/>
    <w:rsid w:val="10ED0B13"/>
    <w:rsid w:val="11033508"/>
    <w:rsid w:val="116329ED"/>
    <w:rsid w:val="11A644B7"/>
    <w:rsid w:val="11DC4DDB"/>
    <w:rsid w:val="122F4048"/>
    <w:rsid w:val="125747A3"/>
    <w:rsid w:val="12655610"/>
    <w:rsid w:val="128748EE"/>
    <w:rsid w:val="12940CFC"/>
    <w:rsid w:val="1295714E"/>
    <w:rsid w:val="12DE7E7E"/>
    <w:rsid w:val="133E765E"/>
    <w:rsid w:val="1348670F"/>
    <w:rsid w:val="13D5616B"/>
    <w:rsid w:val="13D67DC2"/>
    <w:rsid w:val="1446345E"/>
    <w:rsid w:val="14525276"/>
    <w:rsid w:val="14645AC9"/>
    <w:rsid w:val="147A4E81"/>
    <w:rsid w:val="147F6082"/>
    <w:rsid w:val="149E08B2"/>
    <w:rsid w:val="14A435BE"/>
    <w:rsid w:val="150E23E8"/>
    <w:rsid w:val="15420FD8"/>
    <w:rsid w:val="15E6248A"/>
    <w:rsid w:val="160C73A3"/>
    <w:rsid w:val="16270888"/>
    <w:rsid w:val="16326830"/>
    <w:rsid w:val="167E0F7A"/>
    <w:rsid w:val="16951C69"/>
    <w:rsid w:val="16D85089"/>
    <w:rsid w:val="16DA46C2"/>
    <w:rsid w:val="16DE1CF5"/>
    <w:rsid w:val="1753711C"/>
    <w:rsid w:val="17670B85"/>
    <w:rsid w:val="176970E7"/>
    <w:rsid w:val="1775156F"/>
    <w:rsid w:val="17A8742D"/>
    <w:rsid w:val="17A91ACC"/>
    <w:rsid w:val="1825796D"/>
    <w:rsid w:val="183F20DD"/>
    <w:rsid w:val="18533EC5"/>
    <w:rsid w:val="186A5E1B"/>
    <w:rsid w:val="188A18DE"/>
    <w:rsid w:val="188F01C8"/>
    <w:rsid w:val="18F64805"/>
    <w:rsid w:val="19211ABF"/>
    <w:rsid w:val="193A7589"/>
    <w:rsid w:val="1943127C"/>
    <w:rsid w:val="199B67A7"/>
    <w:rsid w:val="1A3C5102"/>
    <w:rsid w:val="1A421138"/>
    <w:rsid w:val="1ABA335E"/>
    <w:rsid w:val="1AE80E9B"/>
    <w:rsid w:val="1AEC2821"/>
    <w:rsid w:val="1AFA6032"/>
    <w:rsid w:val="1AFE24E4"/>
    <w:rsid w:val="1B045B9B"/>
    <w:rsid w:val="1B136215"/>
    <w:rsid w:val="1B137050"/>
    <w:rsid w:val="1B562735"/>
    <w:rsid w:val="1B5A0230"/>
    <w:rsid w:val="1B932E61"/>
    <w:rsid w:val="1BCB5F7F"/>
    <w:rsid w:val="1BCD6D10"/>
    <w:rsid w:val="1BD101A9"/>
    <w:rsid w:val="1C054160"/>
    <w:rsid w:val="1C850D2A"/>
    <w:rsid w:val="1CFA3705"/>
    <w:rsid w:val="1D0A25FB"/>
    <w:rsid w:val="1D0D7052"/>
    <w:rsid w:val="1D4C7960"/>
    <w:rsid w:val="1D4D2711"/>
    <w:rsid w:val="1D624574"/>
    <w:rsid w:val="1E3E5144"/>
    <w:rsid w:val="1E465BEC"/>
    <w:rsid w:val="1E4F4422"/>
    <w:rsid w:val="1E7E0037"/>
    <w:rsid w:val="1EF9479B"/>
    <w:rsid w:val="1F346605"/>
    <w:rsid w:val="1F883586"/>
    <w:rsid w:val="1FE061BF"/>
    <w:rsid w:val="1FE80090"/>
    <w:rsid w:val="201E6EFB"/>
    <w:rsid w:val="202E2B3B"/>
    <w:rsid w:val="20382ECD"/>
    <w:rsid w:val="205F262D"/>
    <w:rsid w:val="21740FEA"/>
    <w:rsid w:val="21BA32FD"/>
    <w:rsid w:val="22141AC9"/>
    <w:rsid w:val="2217673C"/>
    <w:rsid w:val="224F643A"/>
    <w:rsid w:val="22660974"/>
    <w:rsid w:val="226D2B8F"/>
    <w:rsid w:val="226E36B7"/>
    <w:rsid w:val="227B137D"/>
    <w:rsid w:val="22EC7AC2"/>
    <w:rsid w:val="22F11B99"/>
    <w:rsid w:val="236B25DD"/>
    <w:rsid w:val="23BB1974"/>
    <w:rsid w:val="23EC2A6F"/>
    <w:rsid w:val="23F9056B"/>
    <w:rsid w:val="240620DD"/>
    <w:rsid w:val="241C7936"/>
    <w:rsid w:val="24490C93"/>
    <w:rsid w:val="24673308"/>
    <w:rsid w:val="246B10B5"/>
    <w:rsid w:val="246F57F3"/>
    <w:rsid w:val="24913F75"/>
    <w:rsid w:val="249A16C2"/>
    <w:rsid w:val="24AC38C7"/>
    <w:rsid w:val="24BD7138"/>
    <w:rsid w:val="24CF1C7D"/>
    <w:rsid w:val="24D531D2"/>
    <w:rsid w:val="251E570C"/>
    <w:rsid w:val="25292D0F"/>
    <w:rsid w:val="25777DF8"/>
    <w:rsid w:val="25EC7220"/>
    <w:rsid w:val="265665FD"/>
    <w:rsid w:val="265C75E1"/>
    <w:rsid w:val="267273A5"/>
    <w:rsid w:val="269313D4"/>
    <w:rsid w:val="2699009F"/>
    <w:rsid w:val="2699569D"/>
    <w:rsid w:val="27371083"/>
    <w:rsid w:val="27797BFC"/>
    <w:rsid w:val="27D4792F"/>
    <w:rsid w:val="285E3ACA"/>
    <w:rsid w:val="287F08A3"/>
    <w:rsid w:val="28D75176"/>
    <w:rsid w:val="2908174A"/>
    <w:rsid w:val="29AE3286"/>
    <w:rsid w:val="29BE5ED9"/>
    <w:rsid w:val="29D04268"/>
    <w:rsid w:val="29F66740"/>
    <w:rsid w:val="2A630EBC"/>
    <w:rsid w:val="2A97550F"/>
    <w:rsid w:val="2AE525EA"/>
    <w:rsid w:val="2AED5220"/>
    <w:rsid w:val="2B251787"/>
    <w:rsid w:val="2B3A6D30"/>
    <w:rsid w:val="2BA37CBF"/>
    <w:rsid w:val="2BA65301"/>
    <w:rsid w:val="2BBF378B"/>
    <w:rsid w:val="2C574C38"/>
    <w:rsid w:val="2C5A3628"/>
    <w:rsid w:val="2C79609B"/>
    <w:rsid w:val="2C8B67D0"/>
    <w:rsid w:val="2CB70155"/>
    <w:rsid w:val="2CE71911"/>
    <w:rsid w:val="2CFA5014"/>
    <w:rsid w:val="2D16501D"/>
    <w:rsid w:val="2D221E34"/>
    <w:rsid w:val="2D573510"/>
    <w:rsid w:val="2D7B37CF"/>
    <w:rsid w:val="2D7E75EA"/>
    <w:rsid w:val="2D9F0C45"/>
    <w:rsid w:val="2DF65E9C"/>
    <w:rsid w:val="2E4C7BE4"/>
    <w:rsid w:val="2E712421"/>
    <w:rsid w:val="2EF93E94"/>
    <w:rsid w:val="2F536AA2"/>
    <w:rsid w:val="2F8F73D0"/>
    <w:rsid w:val="300F1A2D"/>
    <w:rsid w:val="301F457B"/>
    <w:rsid w:val="304245CB"/>
    <w:rsid w:val="30A06A74"/>
    <w:rsid w:val="30A1609F"/>
    <w:rsid w:val="30A556DD"/>
    <w:rsid w:val="30AE5716"/>
    <w:rsid w:val="30F30015"/>
    <w:rsid w:val="316A7CA4"/>
    <w:rsid w:val="31895C19"/>
    <w:rsid w:val="318B2092"/>
    <w:rsid w:val="31DD46D6"/>
    <w:rsid w:val="31DE1A32"/>
    <w:rsid w:val="320F6A7E"/>
    <w:rsid w:val="322B481C"/>
    <w:rsid w:val="322E3DF2"/>
    <w:rsid w:val="327D6C43"/>
    <w:rsid w:val="329E1444"/>
    <w:rsid w:val="330E6FED"/>
    <w:rsid w:val="333E765B"/>
    <w:rsid w:val="33477FE2"/>
    <w:rsid w:val="335C15CA"/>
    <w:rsid w:val="337E22FA"/>
    <w:rsid w:val="33AC306A"/>
    <w:rsid w:val="33CB6FD7"/>
    <w:rsid w:val="33CF5760"/>
    <w:rsid w:val="33DC5F42"/>
    <w:rsid w:val="34032A5C"/>
    <w:rsid w:val="34155989"/>
    <w:rsid w:val="342C0303"/>
    <w:rsid w:val="343D3315"/>
    <w:rsid w:val="34532DCD"/>
    <w:rsid w:val="359905AE"/>
    <w:rsid w:val="359D67C5"/>
    <w:rsid w:val="35BD7CB3"/>
    <w:rsid w:val="36500BBF"/>
    <w:rsid w:val="36532AC3"/>
    <w:rsid w:val="36DA5DFD"/>
    <w:rsid w:val="372653BE"/>
    <w:rsid w:val="372A3169"/>
    <w:rsid w:val="372D18BF"/>
    <w:rsid w:val="37B572CD"/>
    <w:rsid w:val="37DC6EA1"/>
    <w:rsid w:val="37F57C47"/>
    <w:rsid w:val="38144BC6"/>
    <w:rsid w:val="384C3346"/>
    <w:rsid w:val="385A69D2"/>
    <w:rsid w:val="386447DC"/>
    <w:rsid w:val="397079AF"/>
    <w:rsid w:val="397F6988"/>
    <w:rsid w:val="39CF0A51"/>
    <w:rsid w:val="3A11455F"/>
    <w:rsid w:val="3A4D5E3E"/>
    <w:rsid w:val="3A6C7549"/>
    <w:rsid w:val="3A7F388D"/>
    <w:rsid w:val="3A9E1BDA"/>
    <w:rsid w:val="3ADA2B42"/>
    <w:rsid w:val="3AEC33F1"/>
    <w:rsid w:val="3B1F777F"/>
    <w:rsid w:val="3B25294E"/>
    <w:rsid w:val="3C123B36"/>
    <w:rsid w:val="3C19364B"/>
    <w:rsid w:val="3C2039B5"/>
    <w:rsid w:val="3C386DAD"/>
    <w:rsid w:val="3C8107B4"/>
    <w:rsid w:val="3C8D7397"/>
    <w:rsid w:val="3CD90AF6"/>
    <w:rsid w:val="3CDF463C"/>
    <w:rsid w:val="3CEE271F"/>
    <w:rsid w:val="3D0017FA"/>
    <w:rsid w:val="3D11704E"/>
    <w:rsid w:val="3D1F64D9"/>
    <w:rsid w:val="3D265E41"/>
    <w:rsid w:val="3D2F11E7"/>
    <w:rsid w:val="3D360DCB"/>
    <w:rsid w:val="3E2462EE"/>
    <w:rsid w:val="3E4E7AE9"/>
    <w:rsid w:val="3E887062"/>
    <w:rsid w:val="3E9F003B"/>
    <w:rsid w:val="3F100F79"/>
    <w:rsid w:val="3F1A0A44"/>
    <w:rsid w:val="3F282BE8"/>
    <w:rsid w:val="3F36743D"/>
    <w:rsid w:val="3F5F0581"/>
    <w:rsid w:val="3F7525B9"/>
    <w:rsid w:val="3F8E5B46"/>
    <w:rsid w:val="3FFE12C5"/>
    <w:rsid w:val="405A4616"/>
    <w:rsid w:val="405E419A"/>
    <w:rsid w:val="406D5FC1"/>
    <w:rsid w:val="406F5B37"/>
    <w:rsid w:val="407E3003"/>
    <w:rsid w:val="40A62C11"/>
    <w:rsid w:val="40EB587C"/>
    <w:rsid w:val="41111A63"/>
    <w:rsid w:val="4166616B"/>
    <w:rsid w:val="42214564"/>
    <w:rsid w:val="42A91F2D"/>
    <w:rsid w:val="42E11B60"/>
    <w:rsid w:val="42EB6CF4"/>
    <w:rsid w:val="43051C79"/>
    <w:rsid w:val="430F2E9A"/>
    <w:rsid w:val="43142AA8"/>
    <w:rsid w:val="431F5B1C"/>
    <w:rsid w:val="43314D0B"/>
    <w:rsid w:val="433F4016"/>
    <w:rsid w:val="43673982"/>
    <w:rsid w:val="436E53F2"/>
    <w:rsid w:val="43923B43"/>
    <w:rsid w:val="43B045E6"/>
    <w:rsid w:val="43B901BB"/>
    <w:rsid w:val="43FD0FDF"/>
    <w:rsid w:val="43FF19E6"/>
    <w:rsid w:val="44895322"/>
    <w:rsid w:val="45152176"/>
    <w:rsid w:val="45445E08"/>
    <w:rsid w:val="45967F40"/>
    <w:rsid w:val="45D60C38"/>
    <w:rsid w:val="45D851E8"/>
    <w:rsid w:val="4681754F"/>
    <w:rsid w:val="46CD5AC3"/>
    <w:rsid w:val="46DB5FDA"/>
    <w:rsid w:val="46EB61B6"/>
    <w:rsid w:val="4710391F"/>
    <w:rsid w:val="479F084D"/>
    <w:rsid w:val="47A94871"/>
    <w:rsid w:val="47A95750"/>
    <w:rsid w:val="47C33E66"/>
    <w:rsid w:val="48476A55"/>
    <w:rsid w:val="487E0D19"/>
    <w:rsid w:val="48884431"/>
    <w:rsid w:val="489B0EA7"/>
    <w:rsid w:val="48A82F04"/>
    <w:rsid w:val="48CD516F"/>
    <w:rsid w:val="48D60746"/>
    <w:rsid w:val="48DC70AB"/>
    <w:rsid w:val="48E248D4"/>
    <w:rsid w:val="493A23D3"/>
    <w:rsid w:val="493C4786"/>
    <w:rsid w:val="49771EA4"/>
    <w:rsid w:val="49B92D32"/>
    <w:rsid w:val="49BB467A"/>
    <w:rsid w:val="49EA1C79"/>
    <w:rsid w:val="4A123896"/>
    <w:rsid w:val="4AAD05FF"/>
    <w:rsid w:val="4AC11764"/>
    <w:rsid w:val="4AC34352"/>
    <w:rsid w:val="4AE40E9C"/>
    <w:rsid w:val="4B2E518D"/>
    <w:rsid w:val="4B37511D"/>
    <w:rsid w:val="4B6A262A"/>
    <w:rsid w:val="4B76222A"/>
    <w:rsid w:val="4BB140D7"/>
    <w:rsid w:val="4BEE4392"/>
    <w:rsid w:val="4C0A7A68"/>
    <w:rsid w:val="4C1F4538"/>
    <w:rsid w:val="4C315C75"/>
    <w:rsid w:val="4C5C28EA"/>
    <w:rsid w:val="4C6E3156"/>
    <w:rsid w:val="4CAF4266"/>
    <w:rsid w:val="4CB5633A"/>
    <w:rsid w:val="4CE632A2"/>
    <w:rsid w:val="4CEF06E5"/>
    <w:rsid w:val="4D686E89"/>
    <w:rsid w:val="4D7C6932"/>
    <w:rsid w:val="4DB319F5"/>
    <w:rsid w:val="4E7203C9"/>
    <w:rsid w:val="4E986558"/>
    <w:rsid w:val="4EAC1D41"/>
    <w:rsid w:val="4EF63C69"/>
    <w:rsid w:val="4F17419A"/>
    <w:rsid w:val="4F40512D"/>
    <w:rsid w:val="4F62399D"/>
    <w:rsid w:val="4F7216BB"/>
    <w:rsid w:val="4F727A04"/>
    <w:rsid w:val="4FC32B2D"/>
    <w:rsid w:val="4FF77ABC"/>
    <w:rsid w:val="50205D0F"/>
    <w:rsid w:val="502C7B01"/>
    <w:rsid w:val="503F0724"/>
    <w:rsid w:val="505814D9"/>
    <w:rsid w:val="50774C6D"/>
    <w:rsid w:val="50FA228A"/>
    <w:rsid w:val="51160343"/>
    <w:rsid w:val="511A07A5"/>
    <w:rsid w:val="511D4487"/>
    <w:rsid w:val="514A3A45"/>
    <w:rsid w:val="514F1BF3"/>
    <w:rsid w:val="51CA014D"/>
    <w:rsid w:val="520B27E5"/>
    <w:rsid w:val="521960A6"/>
    <w:rsid w:val="524D0AA9"/>
    <w:rsid w:val="526944E4"/>
    <w:rsid w:val="52C734E5"/>
    <w:rsid w:val="52F279D9"/>
    <w:rsid w:val="53652EA4"/>
    <w:rsid w:val="537316CD"/>
    <w:rsid w:val="5380202B"/>
    <w:rsid w:val="53A66D65"/>
    <w:rsid w:val="53B20156"/>
    <w:rsid w:val="53EF2D50"/>
    <w:rsid w:val="541566DE"/>
    <w:rsid w:val="542643C3"/>
    <w:rsid w:val="5461152B"/>
    <w:rsid w:val="54D01A4F"/>
    <w:rsid w:val="54D67BA3"/>
    <w:rsid w:val="55271ECC"/>
    <w:rsid w:val="55311115"/>
    <w:rsid w:val="554C031D"/>
    <w:rsid w:val="55BB53EE"/>
    <w:rsid w:val="56511DBF"/>
    <w:rsid w:val="56887548"/>
    <w:rsid w:val="568F683C"/>
    <w:rsid w:val="56A854DF"/>
    <w:rsid w:val="57403F9A"/>
    <w:rsid w:val="57434C06"/>
    <w:rsid w:val="575943CB"/>
    <w:rsid w:val="579841FF"/>
    <w:rsid w:val="57D7069F"/>
    <w:rsid w:val="57DB3312"/>
    <w:rsid w:val="57FB56B7"/>
    <w:rsid w:val="581F06A2"/>
    <w:rsid w:val="58411745"/>
    <w:rsid w:val="58634FF5"/>
    <w:rsid w:val="586B5B60"/>
    <w:rsid w:val="588572CD"/>
    <w:rsid w:val="58986329"/>
    <w:rsid w:val="589A765F"/>
    <w:rsid w:val="58B265D2"/>
    <w:rsid w:val="58E44C2F"/>
    <w:rsid w:val="58F66839"/>
    <w:rsid w:val="592472FE"/>
    <w:rsid w:val="59BD66A7"/>
    <w:rsid w:val="59C4702B"/>
    <w:rsid w:val="59D83771"/>
    <w:rsid w:val="5A32106A"/>
    <w:rsid w:val="5A367618"/>
    <w:rsid w:val="5A492394"/>
    <w:rsid w:val="5A7857AD"/>
    <w:rsid w:val="5AE30CAB"/>
    <w:rsid w:val="5B236A1C"/>
    <w:rsid w:val="5B361A3E"/>
    <w:rsid w:val="5B425363"/>
    <w:rsid w:val="5B607F81"/>
    <w:rsid w:val="5C265F77"/>
    <w:rsid w:val="5C2D244C"/>
    <w:rsid w:val="5C5113A1"/>
    <w:rsid w:val="5CB40CFE"/>
    <w:rsid w:val="5CBC6BAD"/>
    <w:rsid w:val="5D2D3B40"/>
    <w:rsid w:val="5D2E6815"/>
    <w:rsid w:val="5D385FAD"/>
    <w:rsid w:val="5DCF5771"/>
    <w:rsid w:val="5E4408EE"/>
    <w:rsid w:val="5E45333A"/>
    <w:rsid w:val="5E6A7621"/>
    <w:rsid w:val="5E786B1C"/>
    <w:rsid w:val="5E9022EA"/>
    <w:rsid w:val="5ED4742D"/>
    <w:rsid w:val="5EED12ED"/>
    <w:rsid w:val="5FBB03D8"/>
    <w:rsid w:val="5FDC0653"/>
    <w:rsid w:val="60705698"/>
    <w:rsid w:val="60E53626"/>
    <w:rsid w:val="60F2314B"/>
    <w:rsid w:val="614D1B8B"/>
    <w:rsid w:val="614F6031"/>
    <w:rsid w:val="618D25B2"/>
    <w:rsid w:val="619D667F"/>
    <w:rsid w:val="61A1573D"/>
    <w:rsid w:val="61A60B82"/>
    <w:rsid w:val="61A62CE7"/>
    <w:rsid w:val="623354E6"/>
    <w:rsid w:val="627C48E2"/>
    <w:rsid w:val="62825C88"/>
    <w:rsid w:val="628D01BA"/>
    <w:rsid w:val="62E6083A"/>
    <w:rsid w:val="631F52D1"/>
    <w:rsid w:val="63356B92"/>
    <w:rsid w:val="633B6DC8"/>
    <w:rsid w:val="63A9528E"/>
    <w:rsid w:val="63B54187"/>
    <w:rsid w:val="63B65162"/>
    <w:rsid w:val="63C11C94"/>
    <w:rsid w:val="63DF2737"/>
    <w:rsid w:val="640C0FBB"/>
    <w:rsid w:val="64124E4E"/>
    <w:rsid w:val="641D6175"/>
    <w:rsid w:val="6421365B"/>
    <w:rsid w:val="64693729"/>
    <w:rsid w:val="647244C7"/>
    <w:rsid w:val="64E0225E"/>
    <w:rsid w:val="658A47CF"/>
    <w:rsid w:val="65B53DBF"/>
    <w:rsid w:val="65BF3F6D"/>
    <w:rsid w:val="65D50034"/>
    <w:rsid w:val="65F96759"/>
    <w:rsid w:val="661707EB"/>
    <w:rsid w:val="667E353D"/>
    <w:rsid w:val="66845BE6"/>
    <w:rsid w:val="66893277"/>
    <w:rsid w:val="668F67A1"/>
    <w:rsid w:val="66B05BBC"/>
    <w:rsid w:val="66CA429E"/>
    <w:rsid w:val="66EB300C"/>
    <w:rsid w:val="66FC6898"/>
    <w:rsid w:val="67290A68"/>
    <w:rsid w:val="67301E75"/>
    <w:rsid w:val="674362AE"/>
    <w:rsid w:val="677F1429"/>
    <w:rsid w:val="6783425D"/>
    <w:rsid w:val="67C47FD6"/>
    <w:rsid w:val="67E20768"/>
    <w:rsid w:val="68817FE7"/>
    <w:rsid w:val="69437944"/>
    <w:rsid w:val="6A135E46"/>
    <w:rsid w:val="6A475375"/>
    <w:rsid w:val="6A4D668F"/>
    <w:rsid w:val="6A707173"/>
    <w:rsid w:val="6A7B3337"/>
    <w:rsid w:val="6A800FCE"/>
    <w:rsid w:val="6A981C0D"/>
    <w:rsid w:val="6AA93CBC"/>
    <w:rsid w:val="6B9757CA"/>
    <w:rsid w:val="6BAD6895"/>
    <w:rsid w:val="6BB66FB9"/>
    <w:rsid w:val="6BEF1A6B"/>
    <w:rsid w:val="6C264A1F"/>
    <w:rsid w:val="6CA86556"/>
    <w:rsid w:val="6CD03472"/>
    <w:rsid w:val="6CFA426E"/>
    <w:rsid w:val="6D245CAD"/>
    <w:rsid w:val="6D3D3FAD"/>
    <w:rsid w:val="6D7A2C35"/>
    <w:rsid w:val="6D86296C"/>
    <w:rsid w:val="6D9152BB"/>
    <w:rsid w:val="6DD9196D"/>
    <w:rsid w:val="6DF758BE"/>
    <w:rsid w:val="6E1C2358"/>
    <w:rsid w:val="6E215730"/>
    <w:rsid w:val="6E2D2B56"/>
    <w:rsid w:val="6E350434"/>
    <w:rsid w:val="6E7B62D5"/>
    <w:rsid w:val="6E8238F8"/>
    <w:rsid w:val="6EEA3F41"/>
    <w:rsid w:val="6EF82B0C"/>
    <w:rsid w:val="6F042E6D"/>
    <w:rsid w:val="6F051693"/>
    <w:rsid w:val="6F06035F"/>
    <w:rsid w:val="6F433D0E"/>
    <w:rsid w:val="6F860E38"/>
    <w:rsid w:val="705A3C17"/>
    <w:rsid w:val="70BA7C94"/>
    <w:rsid w:val="70CB60E4"/>
    <w:rsid w:val="710419FB"/>
    <w:rsid w:val="710F6BA2"/>
    <w:rsid w:val="71340DB1"/>
    <w:rsid w:val="71494E3A"/>
    <w:rsid w:val="714F6133"/>
    <w:rsid w:val="71AB0474"/>
    <w:rsid w:val="723475D9"/>
    <w:rsid w:val="724F7E96"/>
    <w:rsid w:val="72AB0EF8"/>
    <w:rsid w:val="72F1618B"/>
    <w:rsid w:val="733C733F"/>
    <w:rsid w:val="734C2F3C"/>
    <w:rsid w:val="73613AC4"/>
    <w:rsid w:val="73760707"/>
    <w:rsid w:val="737941F3"/>
    <w:rsid w:val="74061558"/>
    <w:rsid w:val="742536C0"/>
    <w:rsid w:val="7446309E"/>
    <w:rsid w:val="750168B0"/>
    <w:rsid w:val="75187288"/>
    <w:rsid w:val="752728DE"/>
    <w:rsid w:val="75887EEE"/>
    <w:rsid w:val="75C04ADA"/>
    <w:rsid w:val="75D35D82"/>
    <w:rsid w:val="7601642E"/>
    <w:rsid w:val="76697F37"/>
    <w:rsid w:val="76ED9463"/>
    <w:rsid w:val="76F81CDC"/>
    <w:rsid w:val="770166E1"/>
    <w:rsid w:val="774D2362"/>
    <w:rsid w:val="777B0847"/>
    <w:rsid w:val="7794379F"/>
    <w:rsid w:val="77EB0074"/>
    <w:rsid w:val="78A71A46"/>
    <w:rsid w:val="796331C4"/>
    <w:rsid w:val="79733069"/>
    <w:rsid w:val="79894D07"/>
    <w:rsid w:val="79C912B5"/>
    <w:rsid w:val="79FE43CE"/>
    <w:rsid w:val="7A0B54B6"/>
    <w:rsid w:val="7A0D3099"/>
    <w:rsid w:val="7A1A326A"/>
    <w:rsid w:val="7A233180"/>
    <w:rsid w:val="7A354272"/>
    <w:rsid w:val="7A5B7B06"/>
    <w:rsid w:val="7A5F0C26"/>
    <w:rsid w:val="7AB25697"/>
    <w:rsid w:val="7AD3582C"/>
    <w:rsid w:val="7AE01453"/>
    <w:rsid w:val="7B176A44"/>
    <w:rsid w:val="7B423F40"/>
    <w:rsid w:val="7B973C61"/>
    <w:rsid w:val="7BB81BBD"/>
    <w:rsid w:val="7C6235E8"/>
    <w:rsid w:val="7C7947F8"/>
    <w:rsid w:val="7CA16EE5"/>
    <w:rsid w:val="7D000111"/>
    <w:rsid w:val="7D034587"/>
    <w:rsid w:val="7D375CD3"/>
    <w:rsid w:val="7D4E1DF5"/>
    <w:rsid w:val="7D531700"/>
    <w:rsid w:val="7D75732C"/>
    <w:rsid w:val="7D790DD0"/>
    <w:rsid w:val="7D7E8954"/>
    <w:rsid w:val="7DA14B38"/>
    <w:rsid w:val="7DBF7CDD"/>
    <w:rsid w:val="7DD65F78"/>
    <w:rsid w:val="7E7A072F"/>
    <w:rsid w:val="7E875A5A"/>
    <w:rsid w:val="7FB72E16"/>
    <w:rsid w:val="7FE71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0"/>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24"/>
      <w:szCs w:val="2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2"/>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unhideWhenUsed/>
    <w:qFormat/>
    <w:uiPriority w:val="99"/>
    <w:rPr>
      <w:rFonts w:cs="Times New Roman"/>
      <w:color w:val="0000FF"/>
      <w:u w:val="single"/>
    </w:rPr>
  </w:style>
  <w:style w:type="character" w:customStyle="1" w:styleId="16">
    <w:name w:val="页眉 Char"/>
    <w:basedOn w:val="13"/>
    <w:link w:val="9"/>
    <w:semiHidden/>
    <w:qFormat/>
    <w:uiPriority w:val="99"/>
    <w:rPr>
      <w:sz w:val="18"/>
      <w:szCs w:val="18"/>
    </w:rPr>
  </w:style>
  <w:style w:type="character" w:customStyle="1" w:styleId="17">
    <w:name w:val="页脚 Char"/>
    <w:basedOn w:val="13"/>
    <w:link w:val="8"/>
    <w:qFormat/>
    <w:uiPriority w:val="99"/>
    <w:rPr>
      <w:sz w:val="18"/>
      <w:szCs w:val="18"/>
    </w:rPr>
  </w:style>
  <w:style w:type="character" w:customStyle="1" w:styleId="18">
    <w:name w:val="标题 1 Char"/>
    <w:basedOn w:val="13"/>
    <w:link w:val="2"/>
    <w:qFormat/>
    <w:uiPriority w:val="9"/>
    <w:rPr>
      <w:rFonts w:ascii="Times New Roman" w:hAnsi="Times New Roman" w:eastAsia="宋体" w:cs="Times New Roman"/>
      <w:b/>
      <w:bCs/>
      <w:kern w:val="44"/>
      <w:sz w:val="44"/>
      <w:szCs w:val="44"/>
    </w:rPr>
  </w:style>
  <w:style w:type="character" w:customStyle="1" w:styleId="19">
    <w:name w:val="标题 2 Char"/>
    <w:basedOn w:val="13"/>
    <w:link w:val="3"/>
    <w:qFormat/>
    <w:uiPriority w:val="9"/>
    <w:rPr>
      <w:rFonts w:ascii="Cambria" w:hAnsi="Cambria" w:eastAsia="宋体" w:cs="Times New Roman"/>
      <w:b/>
      <w:bCs/>
      <w:sz w:val="32"/>
      <w:szCs w:val="32"/>
    </w:rPr>
  </w:style>
  <w:style w:type="character" w:customStyle="1" w:styleId="20">
    <w:name w:val="标题 3 Char"/>
    <w:basedOn w:val="13"/>
    <w:link w:val="4"/>
    <w:qFormat/>
    <w:uiPriority w:val="9"/>
    <w:rPr>
      <w:rFonts w:ascii="Times New Roman" w:hAnsi="Times New Roman" w:eastAsia="宋体" w:cs="Times New Roman"/>
      <w:b/>
      <w:bCs/>
      <w:sz w:val="32"/>
      <w:szCs w:val="32"/>
    </w:rPr>
  </w:style>
  <w:style w:type="character" w:customStyle="1" w:styleId="21">
    <w:name w:val="正文文本 Char"/>
    <w:basedOn w:val="13"/>
    <w:link w:val="5"/>
    <w:qFormat/>
    <w:uiPriority w:val="99"/>
    <w:rPr>
      <w:rFonts w:ascii="仿宋_GB2312" w:hAnsi="Times New Roman" w:eastAsia="仿宋_GB2312" w:cs="Times New Roman"/>
      <w:kern w:val="0"/>
      <w:sz w:val="24"/>
      <w:szCs w:val="20"/>
    </w:rPr>
  </w:style>
  <w:style w:type="character" w:customStyle="1" w:styleId="22">
    <w:name w:val="批注框文本 Char"/>
    <w:basedOn w:val="13"/>
    <w:link w:val="7"/>
    <w:qFormat/>
    <w:uiPriority w:val="99"/>
    <w:rPr>
      <w:rFonts w:ascii="Times New Roman" w:hAnsi="Times New Roman" w:eastAsia="宋体" w:cs="Times New Roman"/>
      <w:sz w:val="18"/>
      <w:szCs w:val="18"/>
    </w:rPr>
  </w:style>
  <w:style w:type="character" w:customStyle="1" w:styleId="23">
    <w:name w:val="Char Char3"/>
    <w:qFormat/>
    <w:locked/>
    <w:uiPriority w:val="99"/>
    <w:rPr>
      <w:rFonts w:ascii="仿宋_GB2312" w:hAnsi="Times New Roman" w:eastAsia="仿宋_GB2312"/>
      <w:sz w:val="24"/>
    </w:rPr>
  </w:style>
  <w:style w:type="character" w:customStyle="1" w:styleId="24">
    <w:name w:val="Char Char1"/>
    <w:qFormat/>
    <w:locked/>
    <w:uiPriority w:val="99"/>
    <w:rPr>
      <w:sz w:val="18"/>
    </w:rPr>
  </w:style>
  <w:style w:type="character" w:customStyle="1" w:styleId="25">
    <w:name w:val="Char Char"/>
    <w:semiHidden/>
    <w:qFormat/>
    <w:locked/>
    <w:uiPriority w:val="99"/>
    <w:rPr>
      <w:sz w:val="18"/>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列出段落1"/>
    <w:basedOn w:val="1"/>
    <w:qFormat/>
    <w:uiPriority w:val="34"/>
    <w:pPr>
      <w:ind w:firstLine="420" w:firstLineChars="200"/>
    </w:p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687278525532"/>
          <c:y val="0.128390174138449"/>
          <c:w val="0.648349831541946"/>
          <c:h val="0.773171790058751"/>
        </c:manualLayout>
      </c:layout>
      <c:barChart>
        <c:barDir val="col"/>
        <c:grouping val="clustered"/>
        <c:varyColors val="0"/>
        <c:ser>
          <c:idx val="0"/>
          <c:order val="0"/>
          <c:tx>
            <c:strRef>
              <c:f>Sheet1!$B$1</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Sheet1!$B$2:$B$3</c:f>
              <c:numCache>
                <c:formatCode>General</c:formatCode>
                <c:ptCount val="2"/>
                <c:pt idx="0">
                  <c:v>2217.19</c:v>
                </c:pt>
                <c:pt idx="1">
                  <c:v>2307.05</c:v>
                </c:pt>
              </c:numCache>
            </c:numRef>
          </c:val>
        </c:ser>
        <c:ser>
          <c:idx val="1"/>
          <c:order val="1"/>
          <c:tx>
            <c:strRef>
              <c:f>Sheet1!$C$1</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Sheet1!$C$2:$C$3</c:f>
              <c:numCache>
                <c:formatCode>General</c:formatCode>
                <c:ptCount val="2"/>
                <c:pt idx="0">
                  <c:v>2217.19</c:v>
                </c:pt>
                <c:pt idx="1">
                  <c:v>1638.05</c:v>
                </c:pt>
              </c:numCache>
            </c:numRef>
          </c:val>
        </c:ser>
        <c:dLbls>
          <c:showLegendKey val="0"/>
          <c:showVal val="1"/>
          <c:showCatName val="0"/>
          <c:showSerName val="0"/>
          <c:showPercent val="0"/>
          <c:showBubbleSize val="0"/>
        </c:dLbls>
        <c:gapWidth val="150"/>
        <c:axId val="115985408"/>
        <c:axId val="120955648"/>
      </c:barChart>
      <c:catAx>
        <c:axId val="1159854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0955648"/>
        <c:crosses val="autoZero"/>
        <c:auto val="1"/>
        <c:lblAlgn val="ctr"/>
        <c:lblOffset val="100"/>
        <c:noMultiLvlLbl val="0"/>
      </c:catAx>
      <c:valAx>
        <c:axId val="1209556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59854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22393450517698"/>
          <c:y val="0.0246647652015634"/>
          <c:w val="0.55500966003136"/>
          <c:h val="0.719401282270057"/>
        </c:manualLayout>
      </c:layout>
      <c:pieChart>
        <c:varyColors val="1"/>
        <c:ser>
          <c:idx val="0"/>
          <c:order val="0"/>
          <c:tx>
            <c:strRef>
              <c:f>Sheet1!$B$1</c:f>
              <c:strCache>
                <c:ptCount val="1"/>
                <c:pt idx="0">
                  <c:v>  </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solidFill>
                    <a:latin typeface="仿宋" panose="02010609060101010101" charset="-122"/>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c:v>
                </c:pt>
              </c:strCache>
            </c:strRef>
          </c:cat>
          <c:val>
            <c:numRef>
              <c:f>Sheet1!$B$2</c:f>
              <c:numCache>
                <c:formatCode>General</c:formatCode>
                <c:ptCount val="1"/>
                <c:pt idx="0">
                  <c:v>2307.05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
          <c:y val="0.808292468779481"/>
          <c:w val="0.984359470717497"/>
          <c:h val="0.148131607388086"/>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0639638291545"/>
          <c:y val="0.0923463462530695"/>
          <c:w val="0.686943377928132"/>
          <c:h val="0.784550846331586"/>
        </c:manualLayout>
      </c:layout>
      <c:pieChart>
        <c:varyColors val="1"/>
        <c:ser>
          <c:idx val="0"/>
          <c:order val="0"/>
          <c:tx>
            <c:strRef>
              <c:f>Sheet1!$B$1</c:f>
              <c:strCache>
                <c:ptCount val="1"/>
                <c:pt idx="0">
                  <c:v>   </c:v>
                </c:pt>
              </c:strCache>
            </c:strRef>
          </c:tx>
          <c:spPr>
            <a:solidFill>
              <a:srgbClr val="C0504D"/>
            </a:solidFill>
          </c:spPr>
          <c:explosion val="6"/>
          <c:dPt>
            <c:idx val="0"/>
            <c:bubble3D val="0"/>
            <c:spPr>
              <a:solidFill>
                <a:srgbClr val="C0504D"/>
              </a:solidFill>
            </c:spPr>
          </c:dPt>
          <c:dPt>
            <c:idx val="1"/>
            <c:bubble3D val="0"/>
            <c:spPr>
              <a:solidFill>
                <a:schemeClr val="tx2">
                  <a:lumMod val="40000"/>
                  <a:lumOff val="60000"/>
                </a:schemeClr>
              </a:solidFill>
            </c:spPr>
          </c:dPt>
          <c:dLbls>
            <c:dLbl>
              <c:idx val="0"/>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仿宋" panose="02010609060101010101" charset="-122"/>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1076.24</c:v>
                </c:pt>
                <c:pt idx="1">
                  <c:v>561.81</c:v>
                </c:pt>
              </c:numCache>
            </c:numRef>
          </c:val>
        </c:ser>
        <c:dLbls>
          <c:showLegendKey val="0"/>
          <c:showVal val="0"/>
          <c:showCatName val="0"/>
          <c:showSerName val="0"/>
          <c:showPercent val="0"/>
          <c:showBubbleSize val="0"/>
          <c:showLeaderLines val="1"/>
        </c:dLbls>
        <c:firstSliceAng val="15"/>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Entry>
      <c:legendEntry>
        <c:idx val="1"/>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Entry>
      <c:layout>
        <c:manualLayout>
          <c:xMode val="edge"/>
          <c:yMode val="edge"/>
          <c:x val="0.726485446235266"/>
          <c:y val="0.291168781417116"/>
          <c:w val="0.25258429477648"/>
          <c:h val="0.203636842691961"/>
        </c:manualLayout>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687317446664"/>
          <c:y val="0.0639107860426986"/>
          <c:w val="0.648349831541946"/>
          <c:h val="0.773171790058751"/>
        </c:manualLayout>
      </c:layout>
      <c:barChart>
        <c:barDir val="col"/>
        <c:grouping val="clustered"/>
        <c:varyColors val="0"/>
        <c:ser>
          <c:idx val="0"/>
          <c:order val="0"/>
          <c:tx>
            <c:strRef>
              <c:f>Sheet1!$B$1</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Sheet1!$B$2:$B$3</c:f>
              <c:numCache>
                <c:formatCode>General</c:formatCode>
                <c:ptCount val="2"/>
                <c:pt idx="0">
                  <c:v>2217.19</c:v>
                </c:pt>
                <c:pt idx="1">
                  <c:v>2307.05</c:v>
                </c:pt>
              </c:numCache>
            </c:numRef>
          </c:val>
        </c:ser>
        <c:ser>
          <c:idx val="1"/>
          <c:order val="1"/>
          <c:tx>
            <c:strRef>
              <c:f>Sheet1!$C$1</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Sheet1!$C$2:$C$3</c:f>
              <c:numCache>
                <c:formatCode>General</c:formatCode>
                <c:ptCount val="2"/>
                <c:pt idx="0">
                  <c:v>2217.19</c:v>
                </c:pt>
                <c:pt idx="1">
                  <c:v>1638.05</c:v>
                </c:pt>
              </c:numCache>
            </c:numRef>
          </c:val>
        </c:ser>
        <c:dLbls>
          <c:showLegendKey val="0"/>
          <c:showVal val="1"/>
          <c:showCatName val="0"/>
          <c:showSerName val="0"/>
          <c:showPercent val="0"/>
          <c:showBubbleSize val="0"/>
        </c:dLbls>
        <c:gapWidth val="150"/>
        <c:axId val="128138624"/>
        <c:axId val="128140416"/>
      </c:barChart>
      <c:catAx>
        <c:axId val="128138624"/>
        <c:scaling>
          <c:orientation val="minMax"/>
        </c:scaling>
        <c:delete val="0"/>
        <c:axPos val="b"/>
        <c:majorTickMark val="out"/>
        <c:minorTickMark val="none"/>
        <c:tickLblPos val="nextTo"/>
        <c:txPr>
          <a:bodyPr rot="-6000000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crossAx val="128140416"/>
        <c:crosses val="autoZero"/>
        <c:auto val="1"/>
        <c:lblAlgn val="ctr"/>
        <c:lblOffset val="100"/>
        <c:noMultiLvlLbl val="0"/>
      </c:catAx>
      <c:valAx>
        <c:axId val="1281404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138624"/>
        <c:crosses val="autoZero"/>
        <c:crossBetween val="between"/>
      </c:valAx>
    </c:plotArea>
    <c:legend>
      <c:legendPos val="r"/>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597704723461"/>
          <c:y val="0.0416559293724647"/>
          <c:w val="0.556063636760069"/>
          <c:h val="0.80760359500517"/>
        </c:manualLayout>
      </c:layout>
      <c:barChart>
        <c:barDir val="col"/>
        <c:grouping val="clustered"/>
        <c:varyColors val="0"/>
        <c:ser>
          <c:idx val="0"/>
          <c:order val="0"/>
          <c:tx>
            <c:strRef>
              <c:f>Sheet1!$B$1</c:f>
              <c:strCache>
                <c:ptCount val="1"/>
                <c:pt idx="0">
                  <c:v>支出总额</c:v>
                </c:pt>
              </c:strCache>
            </c:strRef>
          </c:tx>
          <c:spPr>
            <a:solidFill>
              <a:srgbClr val="C0504D"/>
            </a:solidFill>
          </c:spPr>
          <c:invertIfNegative val="0"/>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仿宋" panose="02010609060101010101" charset="-122"/>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2019年度</c:v>
                </c:pt>
                <c:pt idx="1">
                  <c:v>2020年度</c:v>
                </c:pt>
              </c:strCache>
            </c:strRef>
          </c:cat>
          <c:val>
            <c:numRef>
              <c:f>Sheet1!$B$2:$B$3</c:f>
              <c:numCache>
                <c:formatCode>General</c:formatCode>
                <c:ptCount val="2"/>
                <c:pt idx="0">
                  <c:v>2217.19</c:v>
                </c:pt>
                <c:pt idx="1">
                  <c:v>2307.05</c:v>
                </c:pt>
              </c:numCache>
            </c:numRef>
          </c:val>
        </c:ser>
        <c:dLbls>
          <c:showLegendKey val="0"/>
          <c:showVal val="1"/>
          <c:showCatName val="0"/>
          <c:showSerName val="0"/>
          <c:showPercent val="0"/>
          <c:showBubbleSize val="0"/>
        </c:dLbls>
        <c:gapWidth val="150"/>
        <c:axId val="128398080"/>
        <c:axId val="128399616"/>
      </c:barChart>
      <c:catAx>
        <c:axId val="1283980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200" b="0" i="0" u="none" strike="noStrike" kern="1200" baseline="0">
                <a:solidFill>
                  <a:schemeClr val="tx1"/>
                </a:solidFill>
                <a:latin typeface="仿宋" panose="02010609060101010101" charset="-122"/>
                <a:ea typeface="仿宋" panose="02010609060101010101" charset="-122"/>
                <a:cs typeface="+mn-cs"/>
              </a:defRPr>
            </a:pPr>
          </a:p>
        </c:txPr>
        <c:crossAx val="128399616"/>
        <c:crosses val="autoZero"/>
        <c:auto val="1"/>
        <c:lblAlgn val="ctr"/>
        <c:lblOffset val="100"/>
        <c:noMultiLvlLbl val="0"/>
      </c:catAx>
      <c:valAx>
        <c:axId val="1283996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8398080"/>
        <c:crosses val="autoZero"/>
        <c:crossBetween val="between"/>
      </c:valAx>
    </c:plotArea>
    <c:legend>
      <c:legendPos val="r"/>
      <c:layout>
        <c:manualLayout>
          <c:xMode val="edge"/>
          <c:yMode val="edge"/>
          <c:x val="0.777556116345078"/>
          <c:y val="0.38151753758053"/>
          <c:w val="0.207996496224151"/>
          <c:h val="0.176358466555317"/>
        </c:manualLayout>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
          <c:y val="0.227910389154112"/>
          <c:w val="0.706273806431552"/>
          <c:h val="0.731379089424846"/>
        </c:manualLayout>
      </c:layout>
      <c:pieChart>
        <c:varyColors val="1"/>
        <c:ser>
          <c:idx val="0"/>
          <c:order val="0"/>
          <c:tx>
            <c:strRef>
              <c:f>Sheet1!$B$1</c:f>
              <c:strCache>
                <c:ptCount val="1"/>
                <c:pt idx="0">
                  <c:v>  </c:v>
                </c:pt>
              </c:strCache>
            </c:strRef>
          </c:tx>
          <c:spPr>
            <a:solidFill>
              <a:srgbClr val="FFFF00"/>
            </a:solidFill>
          </c:spPr>
          <c:explosion val="32"/>
          <c:dPt>
            <c:idx val="0"/>
            <c:bubble3D val="0"/>
            <c:spPr>
              <a:solidFill>
                <a:schemeClr val="accent2"/>
              </a:solidFill>
            </c:spPr>
          </c:dPt>
          <c:dPt>
            <c:idx val="1"/>
            <c:bubble3D val="0"/>
            <c:spPr>
              <a:solidFill>
                <a:schemeClr val="accent6"/>
              </a:solidFill>
            </c:spPr>
          </c:dPt>
          <c:dPt>
            <c:idx val="2"/>
            <c:bubble3D val="0"/>
            <c:spPr>
              <a:solidFill>
                <a:schemeClr val="tx2">
                  <a:lumMod val="40000"/>
                  <a:lumOff val="60000"/>
                </a:schemeClr>
              </a:solidFill>
            </c:spPr>
          </c:dPt>
          <c:dLbls>
            <c:dLbl>
              <c:idx val="0"/>
              <c:layout>
                <c:manualLayout>
                  <c:x val="-0.15448636883308"/>
                  <c:y val="-0.0157480314960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4668402122742"/>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solidFill>
                    <a:latin typeface="仿宋" panose="02010609060101010101" charset="-122"/>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社会保障和就业支出</c:v>
                </c:pt>
                <c:pt idx="1">
                  <c:v>住房保障支出</c:v>
                </c:pt>
                <c:pt idx="2">
                  <c:v>卫生健康支出</c:v>
                </c:pt>
              </c:strCache>
            </c:strRef>
          </c:cat>
          <c:val>
            <c:numRef>
              <c:f>Sheet1!$B$2:$B$4</c:f>
              <c:numCache>
                <c:formatCode>General</c:formatCode>
                <c:ptCount val="3"/>
                <c:pt idx="0">
                  <c:v>37.29</c:v>
                </c:pt>
                <c:pt idx="1">
                  <c:v>39.09</c:v>
                </c:pt>
                <c:pt idx="2">
                  <c:v>1561.67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47002167108115"/>
          <c:y val="0.312821212309092"/>
          <c:w val="0.352997832891885"/>
          <c:h val="0.550446194225721"/>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34703141098959"/>
          <c:y val="0.0486144871171609"/>
          <c:w val="0.669817659347204"/>
          <c:h val="0.834895824969534"/>
        </c:manualLayout>
      </c:layout>
      <c:pieChart>
        <c:varyColors val="1"/>
        <c:ser>
          <c:idx val="0"/>
          <c:order val="0"/>
          <c:tx>
            <c:strRef>
              <c:f>Sheet1!$B$1</c:f>
              <c:strCache>
                <c:ptCount val="1"/>
                <c:pt idx="0">
                  <c:v>   </c:v>
                </c:pt>
              </c:strCache>
            </c:strRef>
          </c:tx>
          <c:explosion val="0"/>
          <c:dPt>
            <c:idx val="0"/>
            <c:bubble3D val="0"/>
            <c:explosion val="20"/>
          </c:dPt>
          <c:dPt>
            <c:idx val="1"/>
            <c:bubble3D val="0"/>
          </c:dPt>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公务用车运行维护费支出</c:v>
                </c:pt>
                <c:pt idx="1">
                  <c:v>公务接待费支出</c:v>
                </c:pt>
              </c:strCache>
            </c:strRef>
          </c:cat>
          <c:val>
            <c:numRef>
              <c:f>Sheet1!$B$2:$B$3</c:f>
              <c:numCache>
                <c:formatCode>General</c:formatCode>
                <c:ptCount val="2"/>
                <c:pt idx="0">
                  <c:v>3.9</c:v>
                </c:pt>
                <c:pt idx="1">
                  <c:v>1.7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0564768084595049"/>
          <c:y val="0.814863783738262"/>
          <c:w val="0.907474164864215"/>
          <c:h val="0.138259601361206"/>
        </c:manualLayout>
      </c:layout>
      <c:overlay val="0"/>
      <c:txPr>
        <a:bodyPr rot="0" spcFirstLastPara="0" vertOverflow="ellipsis" vert="horz" wrap="square" anchor="ctr" anchorCtr="1"/>
        <a:lstStyle/>
        <a:p>
          <a:pPr>
            <a:defRPr lang="zh-CN" sz="1400" b="0" i="0" u="none" strike="noStrike" kern="1200" baseline="0">
              <a:solidFill>
                <a:schemeClr val="tx1"/>
              </a:solidFill>
              <a:latin typeface="仿宋" panose="02010609060101010101" charset="-122"/>
              <a:ea typeface="仿宋" panose="0201060906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37</Pages>
  <Words>2766</Words>
  <Characters>15770</Characters>
  <Lines>131</Lines>
  <Paragraphs>36</Paragraphs>
  <TotalTime>98</TotalTime>
  <ScaleCrop>false</ScaleCrop>
  <LinksUpToDate>false</LinksUpToDate>
  <CharactersWithSpaces>18500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2021-09-13T18:06:00Z</dcterms:created>
  <dc:creator>Lenovo</dc:creator>
  <cp:lastModifiedBy>user</cp:lastModifiedBy>
  <cp:lastPrinted>2021-09-13T17:56:00Z</cp:lastPrinted>
  <dcterms:modified xsi:type="dcterms:W3CDTF">2023-09-27T12:31:07Z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y fmtid="{D5CDD505-2E9C-101B-9397-08002B2CF9AE}" pid="3" name="ICV">
    <vt:lpwstr>777010213CE646AA896380ADB23E9146</vt:lpwstr>
  </property>
  <property fmtid="{D5CDD505-2E9C-101B-9397-08002B2CF9AE}" pid="4" name="KSOSaveFontToCloudKey">
    <vt:lpwstr>307445911_btnclosed</vt:lpwstr>
  </property>
</Properties>
</file>