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/>
          <w:sz w:val="44"/>
          <w:szCs w:val="44"/>
        </w:rPr>
      </w:pPr>
      <w:bookmarkStart w:id="1" w:name="_GoBack"/>
      <w:bookmarkStart w:id="0" w:name="OLE_LINK1"/>
      <w:r>
        <w:rPr>
          <w:rFonts w:eastAsia="方正小标宋简体"/>
          <w:b/>
          <w:sz w:val="44"/>
          <w:szCs w:val="44"/>
        </w:rPr>
        <w:t>巴中市建档立卡贫困人口门诊特殊疾病病种及结算标准</w:t>
      </w:r>
      <w:bookmarkEnd w:id="0"/>
    </w:p>
    <w:bookmarkEnd w:id="1"/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tbl>
      <w:tblPr>
        <w:tblStyle w:val="6"/>
        <w:tblW w:w="15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40"/>
        <w:gridCol w:w="1140"/>
        <w:gridCol w:w="1540"/>
        <w:gridCol w:w="1780"/>
        <w:gridCol w:w="1360"/>
        <w:gridCol w:w="1780"/>
        <w:gridCol w:w="1860"/>
        <w:gridCol w:w="1780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一类门诊特殊疾病</w:t>
            </w:r>
          </w:p>
        </w:tc>
        <w:tc>
          <w:tcPr>
            <w:tcW w:w="5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二类门诊特殊疾病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五项医保特惠政策提高一类门诊慢性特殊疾病限额结算标准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五项特惠政策扩大10种门诊慢性特殊疾病病种及限额标准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医保扶助办法增加6种门诊慢性特殊疾病病种及限额标准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原有5种二类门诊特殊疾病病种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医保扶助办法增加6种门诊特殊疾病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医疗费用报销政策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糖尿病、高血压（Ⅱ、Ⅲ级）、癫痫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肺源性心脏病、风湿性心脏病、矽肺病Ⅱ期及以上、因疾病引起的瘫痪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肝硬化失代偿期、精神病、血友病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甲亢、甲减、帕金森氏病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冠心病、再生障碍贫血、重症肌无力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类风湿关节炎、慢性肾功衰、慢性心力衰竭、丙肝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乙肝、慢阻肺（copd)、地中海贫血、慢性肾炎、子宫肌瘤、乳腺增生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恶性肿瘤（癌症）、终末期肾病（尿毒症）、器官移植术后的抗排异治疗、慢性白血病、系统性红斑狼疮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严重多器官衰竭、耐多药性肺结核、艾滋病机会性感染、重性精神病、急性心肌梗塞、脑梗死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治疗本病发生的门诊医疗费用由城乡居民基本医疗保险基金报销60%，医疗扶助基金解决30%，个人自负医疗费用不超过10%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由600元提高到1000元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由800元提高到1500元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由1500元提高到2500元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1000元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1500元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2500元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2000元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100" w:lineRule="exact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10C25"/>
    <w:rsid w:val="62610C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2016-08-31T02:21:00Z</dcterms:created>
  <dc:creator>戚浩</dc:creator>
  <cp:lastModifiedBy>戚浩</cp:lastModifiedBy>
  <dcterms:modified xsi:type="dcterms:W3CDTF">2016-08-31T02:22:15Z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